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Pr="00192AA3" w:rsidRDefault="00D06331" w:rsidP="009663EC">
      <w:pPr>
        <w:pStyle w:val="Ttulo1"/>
        <w:rPr>
          <w:b/>
        </w:rPr>
      </w:pPr>
      <w:r w:rsidRPr="00192AA3">
        <w:rPr>
          <w:b/>
        </w:rPr>
        <w:t>CÓDIGO CIVIL</w:t>
      </w: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lastRenderedPageBreak/>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Cuando haya conflicto de derecho,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Los apellidos corresponderán por su orden, el primero del padre y al </w:t>
      </w:r>
      <w:r w:rsidR="00267776" w:rsidRPr="00A5492C">
        <w:rPr>
          <w:rFonts w:ascii="Arial" w:hAnsi="Arial" w:cs="Arial"/>
          <w:sz w:val="22"/>
          <w:szCs w:val="22"/>
        </w:rPr>
        <w:t>segundo de</w:t>
      </w:r>
      <w:r w:rsidRPr="00A5492C">
        <w:rPr>
          <w:rFonts w:ascii="Arial" w:hAnsi="Arial" w:cs="Arial"/>
          <w:sz w:val="22"/>
          <w:szCs w:val="22"/>
        </w:rPr>
        <w:t xml:space="preserve"> la madre.</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r w:rsidRPr="00A5492C">
        <w:rPr>
          <w:rFonts w:ascii="Arial" w:hAnsi="Arial" w:cs="Arial"/>
          <w:sz w:val="22"/>
          <w:szCs w:val="22"/>
        </w:rPr>
        <w:lastRenderedPageBreak/>
        <w:t>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 xml:space="preserve">Tanto la nulidad del Acto como la falsedad de las Actas de Registro Civil, se resolverá </w:t>
      </w:r>
      <w:r w:rsidRPr="00A5492C">
        <w:rPr>
          <w:rFonts w:ascii="Arial" w:hAnsi="Arial" w:cs="Arial"/>
          <w:sz w:val="22"/>
          <w:szCs w:val="22"/>
        </w:rPr>
        <w:lastRenderedPageBreak/>
        <w:t>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w:t>
      </w:r>
      <w:r w:rsidR="00C62F0F">
        <w:rPr>
          <w:rFonts w:ascii="Arial" w:hAnsi="Arial" w:cs="Arial"/>
          <w:b/>
          <w:sz w:val="22"/>
          <w:szCs w:val="22"/>
        </w:rPr>
        <w:t xml:space="preserve">. </w:t>
      </w:r>
      <w:r w:rsidRPr="00A5492C">
        <w:rPr>
          <w:rFonts w:ascii="Arial" w:hAnsi="Arial" w:cs="Arial"/>
          <w:sz w:val="22"/>
          <w:szCs w:val="22"/>
        </w:rPr>
        <w:t xml:space="preserve">El Acta de Nacimiento, contendrá el año, mes, día, hora y lugar de Nacimiento, el sexo, la impresión digital del presentado; el nombre y apellidos que le correspondan sin que por motivo alguno puedan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lastRenderedPageBreak/>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 xml:space="preserve">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w:t>
      </w:r>
      <w:r w:rsidRPr="00A5492C">
        <w:rPr>
          <w:rFonts w:ascii="Arial" w:hAnsi="Arial" w:cs="Arial"/>
          <w:bCs/>
          <w:sz w:val="22"/>
          <w:szCs w:val="22"/>
        </w:rPr>
        <w:lastRenderedPageBreak/>
        <w:t>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w:t>
      </w:r>
      <w:r w:rsidRPr="00A5492C">
        <w:rPr>
          <w:rFonts w:ascii="Arial" w:eastAsia="MS Mincho" w:hAnsi="Arial" w:cs="Arial"/>
          <w:bCs/>
          <w:sz w:val="22"/>
          <w:szCs w:val="22"/>
        </w:rPr>
        <w:lastRenderedPageBreak/>
        <w:t>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w:t>
      </w:r>
      <w:r w:rsidRPr="00A5492C">
        <w:rPr>
          <w:rFonts w:ascii="Arial" w:hAnsi="Arial" w:cs="Arial"/>
          <w:sz w:val="22"/>
          <w:szCs w:val="22"/>
        </w:rPr>
        <w:lastRenderedPageBreak/>
        <w:t>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Pr="00E338FF"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 xml:space="preserve">La acción de nulidad que nace de la causa prevista en la fracción V del artículo 151, podrá deducirse por el cónyuge ofendido o por el Ministerio Público, en el caso de disolución del </w:t>
      </w:r>
      <w:r w:rsidRPr="00A5492C">
        <w:rPr>
          <w:rFonts w:ascii="Arial" w:hAnsi="Arial" w:cs="Arial"/>
          <w:sz w:val="22"/>
          <w:szCs w:val="22"/>
        </w:rPr>
        <w:lastRenderedPageBreak/>
        <w:t>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w:t>
      </w:r>
      <w:r w:rsidRPr="00A5492C">
        <w:rPr>
          <w:rFonts w:ascii="Arial" w:hAnsi="Arial" w:cs="Arial"/>
          <w:sz w:val="22"/>
          <w:szCs w:val="22"/>
        </w:rPr>
        <w:lastRenderedPageBreak/>
        <w:t>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 xml:space="preserve">Cuando ambos consortes convengan en divorciarse, no tengan hijos o teniéndolos estos sean mayores de 28 años y no sean incapaces, de común acuerdo hubieren liquidado la sociedad conyugal, si bajo ese régimen se casaron, se presentarán personalmente ante el Oficial del Registro </w:t>
      </w:r>
      <w:r w:rsidR="00E429F1" w:rsidRPr="00E429F1">
        <w:rPr>
          <w:rFonts w:ascii="Arial" w:hAnsi="Arial" w:cs="Arial"/>
          <w:bCs/>
          <w:sz w:val="22"/>
          <w:szCs w:val="22"/>
        </w:rPr>
        <w:lastRenderedPageBreak/>
        <w:t>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La manera de administrar los bienes de la sociedad conyugal durante el procedimiento, y la de liquidar dicha sociedad después de ejecutoriado el divorcio, así como la designación de liquidadores. </w:t>
      </w:r>
      <w:r w:rsidRPr="00A5492C">
        <w:rPr>
          <w:rFonts w:ascii="Arial" w:hAnsi="Arial" w:cs="Arial"/>
          <w:sz w:val="22"/>
          <w:szCs w:val="22"/>
        </w:rPr>
        <w:lastRenderedPageBreak/>
        <w:t>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 xml:space="preserve">Ejecutoriado el divorcio, se procederá desde luego a la división de los bienes comunes, se tomarán las precauciones necesarias para asegurar las obligaciones que queden </w:t>
      </w:r>
      <w:r w:rsidRPr="00A5492C">
        <w:rPr>
          <w:rFonts w:ascii="Arial" w:hAnsi="Arial" w:cs="Arial"/>
          <w:bCs/>
          <w:sz w:val="22"/>
          <w:szCs w:val="22"/>
          <w:lang w:val="es-MX"/>
        </w:rPr>
        <w:lastRenderedPageBreak/>
        <w:t>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cinco años, de manera pública y permanente.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w:t>
      </w:r>
      <w:r w:rsidRPr="00A5492C">
        <w:rPr>
          <w:rFonts w:ascii="Arial" w:hAnsi="Arial" w:cs="Arial"/>
          <w:bCs/>
          <w:sz w:val="22"/>
          <w:szCs w:val="22"/>
          <w:lang w:val="es-MX"/>
        </w:rPr>
        <w:lastRenderedPageBreak/>
        <w:t xml:space="preserve">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 xml:space="preserve">La patria potestad se ejerce sobre la persona y los bienes de los hijos. Su ejercicio queda sujeto en cuanto a la guarda y educación de los menores, a las modalidades que le impriman </w:t>
      </w:r>
      <w:r w:rsidRPr="00A5492C">
        <w:rPr>
          <w:rFonts w:ascii="Arial" w:hAnsi="Arial" w:cs="Arial"/>
          <w:sz w:val="22"/>
          <w:szCs w:val="22"/>
        </w:rPr>
        <w:lastRenderedPageBreak/>
        <w:t>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lastRenderedPageBreak/>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ventana  (sic)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 xml:space="preserve">En la pintura, escultura y bordado; en los escritos, impresos, grabados, litografías, fotograbados, oleografías, cromolitografías y en las demás obtenidas por los otros procedimientos </w:t>
      </w:r>
      <w:r w:rsidRPr="007A1D28">
        <w:rPr>
          <w:rFonts w:ascii="Arial" w:hAnsi="Arial" w:cs="Arial"/>
          <w:sz w:val="22"/>
          <w:szCs w:val="22"/>
        </w:rPr>
        <w:lastRenderedPageBreak/>
        <w:t>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 xml:space="preserve">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w:t>
      </w:r>
      <w:r w:rsidRPr="00AE3149">
        <w:rPr>
          <w:rFonts w:ascii="Arial" w:hAnsi="Arial" w:cs="Arial"/>
          <w:sz w:val="22"/>
          <w:szCs w:val="22"/>
        </w:rPr>
        <w:lastRenderedPageBreak/>
        <w:t>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 xml:space="preserve">El propietario de árbol o arbusto contiguo al predio de otro, tiene derecho de exigir de éste que le permita hacer la recolección de los frutos que no se puedan recoger de su lado, siempre </w:t>
      </w:r>
      <w:r w:rsidRPr="00AE3149">
        <w:rPr>
          <w:rFonts w:ascii="Arial" w:hAnsi="Arial" w:cs="Arial"/>
          <w:sz w:val="22"/>
          <w:szCs w:val="22"/>
        </w:rPr>
        <w:lastRenderedPageBreak/>
        <w:t>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w:t>
      </w:r>
      <w:r w:rsidRPr="00AE3149">
        <w:rPr>
          <w:rFonts w:ascii="Arial" w:hAnsi="Arial" w:cs="Arial"/>
          <w:sz w:val="22"/>
          <w:szCs w:val="22"/>
        </w:rPr>
        <w:lastRenderedPageBreak/>
        <w:t>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 A la mujer con quien el testador vivió como si fuera su marido, durante los cinco años que precedieron inmediatamente a su muerte o con la que tuvo hijos, siempre que ambos hayan </w:t>
      </w:r>
      <w:r w:rsidRPr="004D5F6D">
        <w:rPr>
          <w:rFonts w:ascii="Arial" w:hAnsi="Arial" w:cs="Arial"/>
          <w:sz w:val="22"/>
          <w:szCs w:val="22"/>
        </w:rPr>
        <w:lastRenderedPageBreak/>
        <w:t>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lastRenderedPageBreak/>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lastRenderedPageBreak/>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lastRenderedPageBreak/>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 xml:space="preserve">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 xml:space="preserve">Si el aparcero no cumple lo dispuesto en los dos artículos anteriores, tendrá obligación de entregar al propietario la cantidad de frutos que, de acuerdo con el contrato, fijen peritos </w:t>
      </w:r>
      <w:r w:rsidRPr="00AE3149">
        <w:rPr>
          <w:rFonts w:ascii="Arial" w:hAnsi="Arial" w:cs="Arial"/>
          <w:sz w:val="22"/>
          <w:szCs w:val="22"/>
        </w:rPr>
        <w:lastRenderedPageBreak/>
        <w:t>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xml:space="preserve">. El otro </w:t>
      </w:r>
      <w:r w:rsidRPr="00AE3149">
        <w:rPr>
          <w:rFonts w:ascii="Arial" w:hAnsi="Arial" w:cs="Arial"/>
          <w:sz w:val="22"/>
          <w:szCs w:val="22"/>
        </w:rPr>
        <w:lastRenderedPageBreak/>
        <w:t>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lastRenderedPageBreak/>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w:t>
      </w:r>
      <w:r w:rsidRPr="00AE3149">
        <w:rPr>
          <w:rFonts w:ascii="Arial" w:hAnsi="Arial" w:cs="Arial"/>
          <w:sz w:val="22"/>
          <w:szCs w:val="22"/>
        </w:rPr>
        <w:lastRenderedPageBreak/>
        <w:t xml:space="preserve">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 xml:space="preserve">El que haya poseído bienes inmuebles por el tiempo y con las condiciones exigidas para prescribirlos, y no tenga título de propiedad o teniéndolo no sea inscribible por defectuoso, si no </w:t>
      </w:r>
      <w:r w:rsidRPr="00AE3149">
        <w:rPr>
          <w:rFonts w:ascii="Arial" w:hAnsi="Arial" w:cs="Arial"/>
          <w:sz w:val="22"/>
          <w:szCs w:val="22"/>
        </w:rPr>
        <w:lastRenderedPageBreak/>
        <w:t>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w:t>
      </w:r>
      <w:r w:rsidRPr="006810DF">
        <w:rPr>
          <w:rFonts w:ascii="Arial" w:hAnsi="Arial" w:cs="Arial"/>
        </w:rPr>
        <w:lastRenderedPageBreak/>
        <w:t>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s-ES"/>
        </w:rPr>
      </w:pPr>
      <w:r w:rsidRPr="006810DF">
        <w:rPr>
          <w:rFonts w:ascii="Arial" w:hAnsi="Arial" w:cs="Arial"/>
          <w:lang w:val="es-ES"/>
        </w:rPr>
        <w:t>T R A N S I T O R I O S</w:t>
      </w:r>
    </w:p>
    <w:p w:rsidR="00D06331" w:rsidRPr="006810DF" w:rsidRDefault="00D06331" w:rsidP="004D28F6">
      <w:pPr>
        <w:jc w:val="both"/>
        <w:rPr>
          <w:rFonts w:ascii="Arial" w:hAnsi="Arial" w:cs="Arial"/>
          <w:lang w:val="es-ES"/>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6810DF" w:rsidRDefault="00D06331" w:rsidP="004D28F6">
      <w:pPr>
        <w:jc w:val="center"/>
        <w:rPr>
          <w:rFonts w:ascii="Arial" w:hAnsi="Arial" w:cs="Arial"/>
        </w:rPr>
      </w:pPr>
      <w:r w:rsidRPr="006810DF">
        <w:rPr>
          <w:rFonts w:ascii="Arial" w:hAnsi="Arial" w:cs="Arial"/>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TERCERO.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SEXTO.-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ARTÍCULO PRIMERO.-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PRIMERO.- 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6810DF">
        <w:rPr>
          <w:rFonts w:ascii="Arial" w:hAnsi="Arial" w:cs="Arial"/>
          <w:bCs/>
        </w:rPr>
        <w:t xml:space="preserve">ARTÍCULO ÚNICO.-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PRIMERO.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SEGUNDO.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TERCERO.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PRIMERO.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lastRenderedPageBreak/>
        <w:t xml:space="preserve">PRIMERO. 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t>SEGUNDO.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6810DF"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SEGUNDO.-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TERCERO.-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CUARTO.-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Pr="006810DF"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lastRenderedPageBreak/>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lastRenderedPageBreak/>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Default="000642A3" w:rsidP="00267776">
      <w:pPr>
        <w:jc w:val="both"/>
        <w:rPr>
          <w:rFonts w:ascii="Arial" w:eastAsia="Arial Unicode MS" w:hAnsi="Arial" w:cs="Arial"/>
        </w:rPr>
      </w:pPr>
    </w:p>
    <w:p w:rsidR="00574C17" w:rsidRDefault="00574C17" w:rsidP="00267776">
      <w:pPr>
        <w:jc w:val="both"/>
        <w:rPr>
          <w:rFonts w:ascii="Arial" w:eastAsia="Arial Unicode MS" w:hAnsi="Arial" w:cs="Arial"/>
          <w:b/>
        </w:rPr>
      </w:pPr>
      <w:r>
        <w:rPr>
          <w:rFonts w:ascii="Arial" w:eastAsia="Arial Unicode MS" w:hAnsi="Arial" w:cs="Arial"/>
          <w:b/>
        </w:rPr>
        <w:t>--------------------------------------------------------------------------------------------------------------------------------------------------</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b/>
        </w:rPr>
      </w:pPr>
      <w:r>
        <w:rPr>
          <w:rFonts w:ascii="Arial" w:eastAsia="Arial Unicode MS" w:hAnsi="Arial" w:cs="Arial"/>
          <w:b/>
        </w:rPr>
        <w:t>DECRETO 060, LXVII LEGISLATURA, PERIODICO OFICIAL No. 19 DE FECHA 5 DE MARZO DE 2017.</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sz w:val="22"/>
          <w:szCs w:val="22"/>
          <w:lang w:val="es-ES"/>
        </w:rPr>
      </w:pPr>
      <w:r w:rsidRPr="00574C17">
        <w:rPr>
          <w:rFonts w:ascii="Arial" w:eastAsia="Arial Unicode MS" w:hAnsi="Arial" w:cs="Arial"/>
          <w:b/>
          <w:sz w:val="22"/>
          <w:szCs w:val="22"/>
          <w:lang w:val="es-ES"/>
        </w:rPr>
        <w:t xml:space="preserve">ARTÍCULO ÚNICO: </w:t>
      </w:r>
      <w:r w:rsidRPr="00574C17">
        <w:rPr>
          <w:rFonts w:ascii="Arial" w:eastAsia="Arial Unicode MS" w:hAnsi="Arial" w:cs="Arial"/>
          <w:sz w:val="22"/>
          <w:szCs w:val="22"/>
          <w:lang w:val="es-ES"/>
        </w:rPr>
        <w:t>Se reforman los artículos 56 primer párrafo, 77, 108, 455 primer párrafo, 782 y 1392 todos del Código Civil para quedar como sigue</w:t>
      </w:r>
      <w:r>
        <w:rPr>
          <w:rFonts w:ascii="Arial" w:eastAsia="Arial Unicode MS" w:hAnsi="Arial" w:cs="Arial"/>
          <w:sz w:val="22"/>
          <w:szCs w:val="22"/>
          <w:lang w:val="es-ES"/>
        </w:rPr>
        <w:t>:</w:t>
      </w:r>
    </w:p>
    <w:p w:rsidR="00574C17" w:rsidRDefault="00574C17" w:rsidP="00267776">
      <w:pPr>
        <w:jc w:val="both"/>
        <w:rPr>
          <w:rFonts w:ascii="Arial" w:eastAsia="Arial Unicode MS" w:hAnsi="Arial" w:cs="Arial"/>
          <w:sz w:val="22"/>
          <w:szCs w:val="22"/>
          <w:lang w:val="es-ES"/>
        </w:rPr>
      </w:pPr>
    </w:p>
    <w:p w:rsidR="00574C17" w:rsidRDefault="00574C17" w:rsidP="00574C17">
      <w:pPr>
        <w:jc w:val="center"/>
        <w:rPr>
          <w:rFonts w:ascii="Arial" w:eastAsia="Calibri" w:hAnsi="Arial" w:cs="Arial"/>
          <w:b/>
          <w:sz w:val="24"/>
          <w:szCs w:val="24"/>
        </w:rPr>
      </w:pPr>
    </w:p>
    <w:p w:rsidR="00574C17" w:rsidRDefault="00574C17" w:rsidP="00574C17">
      <w:pPr>
        <w:jc w:val="center"/>
        <w:rPr>
          <w:rFonts w:ascii="Arial" w:eastAsia="Calibri" w:hAnsi="Arial" w:cs="Arial"/>
          <w:b/>
          <w:sz w:val="24"/>
          <w:szCs w:val="24"/>
        </w:rPr>
      </w:pPr>
      <w:r w:rsidRPr="000C55E1">
        <w:rPr>
          <w:rFonts w:ascii="Arial" w:eastAsia="Calibri" w:hAnsi="Arial" w:cs="Arial"/>
          <w:b/>
          <w:sz w:val="24"/>
          <w:szCs w:val="24"/>
        </w:rPr>
        <w:t>ARTÍCULOS TRANSITORIOS</w:t>
      </w:r>
    </w:p>
    <w:p w:rsidR="00574C17" w:rsidRPr="000C55E1" w:rsidRDefault="00574C17" w:rsidP="00574C17">
      <w:pPr>
        <w:jc w:val="center"/>
        <w:rPr>
          <w:rFonts w:ascii="Arial" w:eastAsia="Calibri" w:hAnsi="Arial" w:cs="Arial"/>
          <w:b/>
          <w:sz w:val="24"/>
          <w:szCs w:val="24"/>
        </w:rPr>
      </w:pP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PRIMERO.</w:t>
      </w:r>
      <w:r w:rsidRPr="00473BDD">
        <w:rPr>
          <w:rFonts w:ascii="Arial" w:eastAsia="Calibri" w:hAnsi="Arial" w:cs="Arial"/>
          <w:sz w:val="24"/>
          <w:szCs w:val="24"/>
          <w:lang w:val="es-ES"/>
        </w:rPr>
        <w:t xml:space="preserve"> El presente decreto entrará en vigor al día siguiente de su publicación en el Periódico Oficial del Gobierno del Estado de Durango. </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SEGUNDO</w:t>
      </w:r>
      <w:r w:rsidRPr="00473BDD">
        <w:rPr>
          <w:rFonts w:ascii="Arial" w:eastAsia="Calibri" w:hAnsi="Arial" w:cs="Arial"/>
          <w:sz w:val="24"/>
          <w:szCs w:val="24"/>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TERCERO.</w:t>
      </w:r>
      <w:r w:rsidRPr="00473BDD">
        <w:rPr>
          <w:rFonts w:ascii="Arial" w:eastAsia="Calibri" w:hAnsi="Arial" w:cs="Arial"/>
          <w:sz w:val="24"/>
          <w:szCs w:val="24"/>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473BDD" w:rsidRDefault="00574C17" w:rsidP="00574C17">
      <w:pPr>
        <w:jc w:val="both"/>
        <w:rPr>
          <w:rFonts w:ascii="Arial" w:eastAsia="Calibri" w:hAnsi="Arial" w:cs="Arial"/>
          <w:sz w:val="24"/>
          <w:szCs w:val="24"/>
          <w:lang w:val="es-ES"/>
        </w:rPr>
      </w:pPr>
      <w:r w:rsidRPr="00473BDD">
        <w:rPr>
          <w:rFonts w:ascii="Arial" w:eastAsia="Calibri" w:hAnsi="Arial" w:cs="Arial"/>
          <w:b/>
          <w:sz w:val="24"/>
          <w:szCs w:val="24"/>
          <w:lang w:val="es-ES"/>
        </w:rPr>
        <w:t>CUARTO.</w:t>
      </w:r>
      <w:r w:rsidRPr="00473BDD">
        <w:rPr>
          <w:rFonts w:ascii="Arial" w:eastAsia="Calibri" w:hAnsi="Arial" w:cs="Arial"/>
          <w:sz w:val="24"/>
          <w:szCs w:val="24"/>
          <w:lang w:val="es-ES"/>
        </w:rPr>
        <w:t xml:space="preserve"> Se derogan todas las disposiciones que se opongan a lo establecido en el presente decreto, excepto las relativas a la unidad de cuenta denominada Unidad de Inversión o UDI.</w:t>
      </w:r>
    </w:p>
    <w:p w:rsidR="00574C17"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El Ciudadano Gobernador del Estado, sancionará, promulgará y dispondrá se publique, circule y observe.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 xml:space="preserve">Dado en el Salón de Sesiones del Honorable Congreso del Estado, en Victoria de Durango, </w:t>
      </w:r>
      <w:proofErr w:type="spellStart"/>
      <w:r w:rsidRPr="000C55E1">
        <w:rPr>
          <w:rFonts w:ascii="Arial" w:eastAsia="Arial Unicode MS" w:hAnsi="Arial" w:cs="Arial"/>
          <w:sz w:val="24"/>
          <w:szCs w:val="24"/>
        </w:rPr>
        <w:t>Dgo</w:t>
      </w:r>
      <w:proofErr w:type="spellEnd"/>
      <w:r w:rsidRPr="000C55E1">
        <w:rPr>
          <w:rFonts w:ascii="Arial" w:eastAsia="Arial Unicode MS" w:hAnsi="Arial" w:cs="Arial"/>
          <w:sz w:val="24"/>
          <w:szCs w:val="24"/>
        </w:rPr>
        <w:t xml:space="preserve">. </w:t>
      </w:r>
      <w:proofErr w:type="gramStart"/>
      <w:r w:rsidRPr="000C55E1">
        <w:rPr>
          <w:rFonts w:ascii="Arial" w:eastAsia="Arial Unicode MS" w:hAnsi="Arial" w:cs="Arial"/>
          <w:sz w:val="24"/>
          <w:szCs w:val="24"/>
        </w:rPr>
        <w:t>a</w:t>
      </w:r>
      <w:proofErr w:type="gramEnd"/>
      <w:r w:rsidRPr="000C55E1">
        <w:rPr>
          <w:rFonts w:ascii="Arial" w:eastAsia="Arial Unicode MS" w:hAnsi="Arial" w:cs="Arial"/>
          <w:sz w:val="24"/>
          <w:szCs w:val="24"/>
        </w:rPr>
        <w:t xml:space="preserve"> los (31) treinta y un días del mes de enero de (2017) dos mil diecisiete.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DIP. JORGE ALEJANDRO SALUM DEL PALACIO</w:t>
      </w:r>
      <w:r>
        <w:rPr>
          <w:rFonts w:ascii="Arial" w:eastAsia="Arial Unicode MS" w:hAnsi="Arial" w:cs="Arial"/>
          <w:sz w:val="24"/>
          <w:szCs w:val="24"/>
        </w:rPr>
        <w:t xml:space="preserve">, PRESIDENTE; </w:t>
      </w:r>
      <w:r w:rsidRPr="000C55E1">
        <w:rPr>
          <w:rFonts w:ascii="Arial" w:eastAsia="Arial Unicode MS" w:hAnsi="Arial" w:cs="Arial"/>
          <w:sz w:val="24"/>
          <w:szCs w:val="24"/>
        </w:rPr>
        <w:t>DIP. MARISOL PEÑA RODRÍGUEZ</w:t>
      </w:r>
      <w:r>
        <w:rPr>
          <w:rFonts w:ascii="Arial" w:eastAsia="Arial Unicode MS" w:hAnsi="Arial" w:cs="Arial"/>
          <w:sz w:val="24"/>
          <w:szCs w:val="24"/>
        </w:rPr>
        <w:t xml:space="preserve">, SECRETARIA; </w:t>
      </w:r>
      <w:r w:rsidRPr="000C55E1">
        <w:rPr>
          <w:rFonts w:ascii="Arial" w:eastAsia="Arial Unicode MS" w:hAnsi="Arial" w:cs="Arial"/>
          <w:sz w:val="24"/>
          <w:szCs w:val="24"/>
        </w:rPr>
        <w:t>DIP. SILVIA PATRICIA JIMÉNEZ DELGADO</w:t>
      </w:r>
      <w:r>
        <w:rPr>
          <w:rFonts w:ascii="Arial" w:eastAsia="Arial Unicode MS" w:hAnsi="Arial" w:cs="Arial"/>
          <w:sz w:val="24"/>
          <w:szCs w:val="24"/>
        </w:rPr>
        <w:t xml:space="preserve">, </w:t>
      </w:r>
      <w:r w:rsidRPr="000C55E1">
        <w:rPr>
          <w:rFonts w:ascii="Arial" w:eastAsia="Arial Unicode MS" w:hAnsi="Arial" w:cs="Arial"/>
          <w:sz w:val="24"/>
          <w:szCs w:val="24"/>
        </w:rPr>
        <w:t>SECRETARIA.</w:t>
      </w:r>
      <w:r>
        <w:rPr>
          <w:rFonts w:ascii="Arial" w:eastAsia="Arial Unicode MS" w:hAnsi="Arial" w:cs="Arial"/>
          <w:sz w:val="24"/>
          <w:szCs w:val="24"/>
        </w:rPr>
        <w:t xml:space="preserve"> RÚBRICAS.</w:t>
      </w:r>
    </w:p>
    <w:p w:rsidR="00574C17" w:rsidRDefault="00574C17" w:rsidP="00267776">
      <w:pPr>
        <w:jc w:val="both"/>
        <w:rPr>
          <w:rFonts w:ascii="Arial" w:eastAsia="Arial Unicode MS" w:hAnsi="Arial" w:cs="Arial"/>
          <w:b/>
          <w:sz w:val="22"/>
          <w:szCs w:val="22"/>
        </w:rPr>
      </w:pPr>
    </w:p>
    <w:p w:rsidR="00050ACC" w:rsidRDefault="00050ACC" w:rsidP="00267776">
      <w:pPr>
        <w:jc w:val="both"/>
        <w:rPr>
          <w:rFonts w:ascii="Arial" w:eastAsia="Arial Unicode MS" w:hAnsi="Arial" w:cs="Arial"/>
          <w:b/>
          <w:sz w:val="22"/>
          <w:szCs w:val="22"/>
        </w:rPr>
      </w:pPr>
      <w:r>
        <w:rPr>
          <w:rFonts w:ascii="Arial" w:eastAsia="Arial Unicode MS" w:hAnsi="Arial" w:cs="Arial"/>
          <w:b/>
          <w:sz w:val="22"/>
          <w:szCs w:val="22"/>
        </w:rPr>
        <w:t>-------------------------------------------------------------------------------------------------------------------------------------</w:t>
      </w:r>
    </w:p>
    <w:p w:rsidR="00050ACC" w:rsidRDefault="00050ACC" w:rsidP="00267776">
      <w:pPr>
        <w:jc w:val="both"/>
        <w:rPr>
          <w:rFonts w:ascii="Arial" w:eastAsia="Arial Unicode MS" w:hAnsi="Arial" w:cs="Arial"/>
          <w:b/>
          <w:sz w:val="22"/>
          <w:szCs w:val="22"/>
        </w:rPr>
      </w:pPr>
    </w:p>
    <w:p w:rsidR="00050ACC" w:rsidRPr="00050ACC" w:rsidRDefault="00050ACC" w:rsidP="00267776">
      <w:pPr>
        <w:jc w:val="both"/>
        <w:rPr>
          <w:rFonts w:ascii="Arial" w:eastAsia="Arial Unicode MS" w:hAnsi="Arial" w:cs="Arial"/>
          <w:b/>
        </w:rPr>
      </w:pPr>
      <w:r w:rsidRPr="00050ACC">
        <w:rPr>
          <w:rFonts w:ascii="Arial" w:eastAsia="Arial Unicode MS" w:hAnsi="Arial" w:cs="Arial"/>
          <w:b/>
        </w:rPr>
        <w:t>DECRETO 81, LXVI LEGISLATURA, PERIODICO OFICIAL No. 1</w:t>
      </w:r>
      <w:r w:rsidR="006E3B8A">
        <w:rPr>
          <w:rFonts w:ascii="Arial" w:eastAsia="Arial Unicode MS" w:hAnsi="Arial" w:cs="Arial"/>
          <w:b/>
        </w:rPr>
        <w:t>7</w:t>
      </w:r>
      <w:r w:rsidRPr="00050ACC">
        <w:rPr>
          <w:rFonts w:ascii="Arial" w:eastAsia="Arial Unicode MS" w:hAnsi="Arial" w:cs="Arial"/>
          <w:b/>
        </w:rPr>
        <w:t xml:space="preserve"> DE FECHA </w:t>
      </w:r>
      <w:r w:rsidR="006E3B8A">
        <w:rPr>
          <w:rFonts w:ascii="Arial" w:eastAsia="Arial Unicode MS" w:hAnsi="Arial" w:cs="Arial"/>
          <w:b/>
        </w:rPr>
        <w:t>26</w:t>
      </w:r>
      <w:r w:rsidRPr="00050ACC">
        <w:rPr>
          <w:rFonts w:ascii="Arial" w:eastAsia="Arial Unicode MS" w:hAnsi="Arial" w:cs="Arial"/>
          <w:b/>
        </w:rPr>
        <w:t xml:space="preserve"> DE </w:t>
      </w:r>
      <w:r w:rsidR="006E3B8A">
        <w:rPr>
          <w:rFonts w:ascii="Arial" w:eastAsia="Arial Unicode MS" w:hAnsi="Arial" w:cs="Arial"/>
          <w:b/>
        </w:rPr>
        <w:t>FEBRERO</w:t>
      </w:r>
      <w:r w:rsidRPr="00050ACC">
        <w:rPr>
          <w:rFonts w:ascii="Arial" w:eastAsia="Arial Unicode MS" w:hAnsi="Arial" w:cs="Arial"/>
          <w:b/>
        </w:rPr>
        <w:t xml:space="preserve"> DE 2017.</w:t>
      </w:r>
    </w:p>
    <w:p w:rsidR="00050ACC" w:rsidRPr="00050ACC"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050ACC">
        <w:rPr>
          <w:rFonts w:ascii="Arial" w:hAnsi="Arial" w:cs="Arial"/>
          <w:b/>
          <w:lang w:val="es-ES"/>
        </w:rPr>
        <w:t xml:space="preserve">ARTÍCULO PRIMERO.- </w:t>
      </w:r>
      <w:r w:rsidRPr="00050ACC">
        <w:rPr>
          <w:rFonts w:ascii="Arial" w:hAnsi="Arial" w:cs="Arial"/>
          <w:lang w:val="es-ES"/>
        </w:rPr>
        <w:t>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lastRenderedPageBreak/>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DECRETO 123, LXVII LEGISLATURA, PERIODICO OFICIAL No. 26 DE FECHA 30 DE MARZO DE 2017.</w:t>
      </w:r>
    </w:p>
    <w:p w:rsidR="00716128" w:rsidRPr="00716128" w:rsidRDefault="00716128" w:rsidP="00050ACC">
      <w:pPr>
        <w:jc w:val="both"/>
        <w:rPr>
          <w:rFonts w:ascii="Arial" w:eastAsia="Arial Unicode MS" w:hAnsi="Arial" w:cs="Arial"/>
          <w:b/>
          <w:lang w:val="es-ES" w:eastAsia="en-US"/>
        </w:rPr>
      </w:pPr>
    </w:p>
    <w:p w:rsidR="00716128" w:rsidRPr="00716128" w:rsidRDefault="00716128" w:rsidP="00050ACC">
      <w:pPr>
        <w:jc w:val="both"/>
        <w:rPr>
          <w:rFonts w:ascii="Segoe UI" w:hAnsi="Segoe UI" w:cs="Segoe UI"/>
          <w:lang w:val="es-ES" w:eastAsia="es-MX"/>
        </w:rPr>
      </w:pPr>
      <w:r w:rsidRPr="00716128">
        <w:rPr>
          <w:rFonts w:ascii="Segoe UI" w:hAnsi="Segoe UI" w:cs="Segoe UI"/>
          <w:b/>
          <w:lang w:val="es-ES" w:eastAsia="es-MX"/>
        </w:rPr>
        <w:t>ARTICULO ÚNICO.-</w:t>
      </w:r>
      <w:r w:rsidRPr="00716128">
        <w:rPr>
          <w:rFonts w:ascii="Segoe UI" w:hAnsi="Segoe UI" w:cs="Segoe UI"/>
          <w:lang w:val="es-ES" w:eastAsia="es-MX"/>
        </w:rPr>
        <w:t xml:space="preserve"> Se reforma el artículo 724 del Código Civil del Estado de Durango, para quedar como sigue</w:t>
      </w:r>
      <w:r w:rsidRPr="00716128">
        <w:rPr>
          <w:rFonts w:ascii="Segoe UI" w:hAnsi="Segoe UI" w:cs="Segoe UI"/>
          <w:lang w:val="es-ES" w:eastAsia="es-MX"/>
        </w:rPr>
        <w:t>:</w:t>
      </w:r>
    </w:p>
    <w:p w:rsidR="00716128" w:rsidRPr="00716128" w:rsidRDefault="00716128" w:rsidP="00050ACC">
      <w:pPr>
        <w:jc w:val="both"/>
        <w:rPr>
          <w:rFonts w:ascii="Segoe UI" w:hAnsi="Segoe UI" w:cs="Segoe UI"/>
          <w:lang w:val="es-ES" w:eastAsia="es-MX"/>
        </w:rPr>
      </w:pPr>
    </w:p>
    <w:p w:rsidR="00716128" w:rsidRPr="00716128" w:rsidRDefault="00716128" w:rsidP="00716128">
      <w:pPr>
        <w:widowControl w:val="0"/>
        <w:autoSpaceDE w:val="0"/>
        <w:autoSpaceDN w:val="0"/>
        <w:adjustRightInd w:val="0"/>
        <w:spacing w:line="480" w:lineRule="auto"/>
        <w:jc w:val="center"/>
        <w:rPr>
          <w:rFonts w:ascii="Segoe UI" w:hAnsi="Segoe UI" w:cs="Segoe UI"/>
          <w:b/>
          <w:lang w:val="es-ES" w:eastAsia="es-MX"/>
        </w:rPr>
      </w:pPr>
      <w:r w:rsidRPr="00716128">
        <w:rPr>
          <w:rFonts w:ascii="Segoe UI" w:hAnsi="Segoe UI" w:cs="Segoe UI"/>
          <w:b/>
          <w:lang w:val="es-ES" w:eastAsia="es-MX"/>
        </w:rPr>
        <w:t>ARTÍCULOS TRANSITORIOS</w:t>
      </w:r>
    </w:p>
    <w:p w:rsidR="00716128" w:rsidRPr="00716128" w:rsidRDefault="00716128" w:rsidP="00716128">
      <w:pPr>
        <w:widowControl w:val="0"/>
        <w:autoSpaceDE w:val="0"/>
        <w:autoSpaceDN w:val="0"/>
        <w:adjustRightInd w:val="0"/>
        <w:jc w:val="both"/>
        <w:rPr>
          <w:rFonts w:ascii="Segoe UI" w:hAnsi="Segoe UI" w:cs="Segoe UI"/>
          <w:lang w:val="es-ES" w:eastAsia="es-MX"/>
        </w:rPr>
      </w:pPr>
      <w:r w:rsidRPr="00716128">
        <w:rPr>
          <w:rFonts w:ascii="Segoe UI" w:hAnsi="Segoe UI" w:cs="Segoe UI"/>
          <w:b/>
          <w:lang w:val="es-ES" w:eastAsia="es-MX"/>
        </w:rPr>
        <w:t>PRIMERO.</w:t>
      </w:r>
      <w:r w:rsidRPr="00716128">
        <w:rPr>
          <w:rFonts w:ascii="Segoe UI" w:hAnsi="Segoe UI" w:cs="Segoe UI"/>
          <w:lang w:val="es-ES" w:eastAsia="es-MX"/>
        </w:rPr>
        <w:t xml:space="preserve"> El presente decreto entrará en vigor al día siguiente de su publicación en el Periódico Oficial del Gobierno del Estado de Durango. </w:t>
      </w:r>
    </w:p>
    <w:p w:rsidR="00716128" w:rsidRPr="00716128" w:rsidRDefault="00716128" w:rsidP="00716128">
      <w:pPr>
        <w:widowControl w:val="0"/>
        <w:autoSpaceDE w:val="0"/>
        <w:autoSpaceDN w:val="0"/>
        <w:adjustRightInd w:val="0"/>
        <w:jc w:val="both"/>
        <w:rPr>
          <w:rFonts w:ascii="Segoe UI" w:hAnsi="Segoe UI" w:cs="Segoe UI"/>
          <w:lang w:val="es-ES" w:eastAsia="es-MX"/>
        </w:rPr>
      </w:pPr>
    </w:p>
    <w:p w:rsidR="00716128" w:rsidRPr="00716128" w:rsidRDefault="00716128" w:rsidP="00716128">
      <w:pPr>
        <w:widowControl w:val="0"/>
        <w:autoSpaceDE w:val="0"/>
        <w:autoSpaceDN w:val="0"/>
        <w:adjustRightInd w:val="0"/>
        <w:jc w:val="both"/>
        <w:rPr>
          <w:rFonts w:ascii="Segoe UI" w:hAnsi="Segoe UI" w:cs="Segoe UI"/>
          <w:lang w:val="es-ES" w:eastAsia="es-MX"/>
        </w:rPr>
      </w:pPr>
      <w:r w:rsidRPr="00716128">
        <w:rPr>
          <w:rFonts w:ascii="Segoe UI" w:hAnsi="Segoe UI" w:cs="Segoe UI"/>
          <w:b/>
          <w:lang w:val="es-ES" w:eastAsia="es-MX"/>
        </w:rPr>
        <w:t>SEGUNDO.</w:t>
      </w:r>
      <w:r w:rsidRPr="00716128">
        <w:rPr>
          <w:rFonts w:ascii="Segoe UI" w:hAnsi="Segoe UI" w:cs="Segoe UI"/>
          <w:lang w:val="es-ES" w:eastAsia="es-MX"/>
        </w:rPr>
        <w:t xml:space="preserve"> Se derogan todas las disposiciones que se opongan al presente decreto. </w:t>
      </w:r>
    </w:p>
    <w:p w:rsidR="00716128" w:rsidRPr="00716128" w:rsidRDefault="00716128" w:rsidP="00716128">
      <w:pPr>
        <w:jc w:val="both"/>
        <w:rPr>
          <w:rFonts w:ascii="Segoe UI" w:hAnsi="Segoe UI" w:cs="Segoe UI"/>
          <w:lang w:val="es-ES" w:eastAsia="es-MX"/>
        </w:rPr>
      </w:pPr>
    </w:p>
    <w:p w:rsidR="00716128" w:rsidRPr="00716128" w:rsidRDefault="00716128" w:rsidP="00716128">
      <w:pPr>
        <w:jc w:val="both"/>
        <w:rPr>
          <w:rFonts w:ascii="Segoe UI" w:hAnsi="Segoe UI" w:cs="Segoe UI"/>
          <w:lang w:val="es-ES" w:eastAsia="es-MX"/>
        </w:rPr>
      </w:pPr>
      <w:r w:rsidRPr="00716128">
        <w:rPr>
          <w:rFonts w:ascii="Segoe UI" w:hAnsi="Segoe UI" w:cs="Segoe UI"/>
          <w:lang w:val="es-ES" w:eastAsia="es-MX"/>
        </w:rPr>
        <w:t>El Ciudadano Gobernador del Estado, sancionará, promulgará y dispondrá se publique, circule y observe.</w:t>
      </w:r>
    </w:p>
    <w:p w:rsidR="00716128" w:rsidRPr="00716128" w:rsidRDefault="00716128" w:rsidP="00716128">
      <w:pPr>
        <w:jc w:val="both"/>
        <w:rPr>
          <w:rFonts w:ascii="Arial" w:eastAsia="Arial Unicode MS" w:hAnsi="Arial" w:cs="Arial"/>
          <w:lang w:val="es-MX" w:eastAsia="es-MX"/>
        </w:rPr>
      </w:pPr>
      <w:r w:rsidRPr="00716128">
        <w:rPr>
          <w:rFonts w:ascii="Arial" w:eastAsia="Arial Unicode MS" w:hAnsi="Arial" w:cs="Arial"/>
          <w:lang w:val="es-MX" w:eastAsia="es-MX"/>
        </w:rPr>
        <w:t xml:space="preserve">Dado en el Salón de Sesiones del Honorable Congreso del Estado, en Victoria de Durango, </w:t>
      </w:r>
      <w:proofErr w:type="spellStart"/>
      <w:r w:rsidRPr="00716128">
        <w:rPr>
          <w:rFonts w:ascii="Arial" w:eastAsia="Arial Unicode MS" w:hAnsi="Arial" w:cs="Arial"/>
          <w:lang w:val="es-MX" w:eastAsia="es-MX"/>
        </w:rPr>
        <w:t>Dgo</w:t>
      </w:r>
      <w:proofErr w:type="spellEnd"/>
      <w:r w:rsidRPr="00716128">
        <w:rPr>
          <w:rFonts w:ascii="Arial" w:eastAsia="Arial Unicode MS" w:hAnsi="Arial" w:cs="Arial"/>
          <w:lang w:val="es-MX" w:eastAsia="es-MX"/>
        </w:rPr>
        <w:t xml:space="preserve">. </w:t>
      </w:r>
      <w:proofErr w:type="gramStart"/>
      <w:r w:rsidRPr="00716128">
        <w:rPr>
          <w:rFonts w:ascii="Arial" w:eastAsia="Arial Unicode MS" w:hAnsi="Arial" w:cs="Arial"/>
          <w:lang w:val="es-MX" w:eastAsia="es-MX"/>
        </w:rPr>
        <w:t>a</w:t>
      </w:r>
      <w:proofErr w:type="gramEnd"/>
      <w:r w:rsidRPr="00716128">
        <w:rPr>
          <w:rFonts w:ascii="Arial" w:eastAsia="Arial Unicode MS" w:hAnsi="Arial" w:cs="Arial"/>
          <w:lang w:val="es-MX" w:eastAsia="es-MX"/>
        </w:rPr>
        <w:t xml:space="preserve"> los (15) quince días del mes de marzo de (2017) dos mil diecisiete.</w:t>
      </w:r>
    </w:p>
    <w:p w:rsidR="00716128" w:rsidRPr="00716128" w:rsidRDefault="00716128" w:rsidP="00716128">
      <w:pPr>
        <w:jc w:val="both"/>
        <w:rPr>
          <w:rFonts w:ascii="Arial" w:eastAsia="Arial Unicode MS" w:hAnsi="Arial" w:cs="Arial"/>
          <w:lang w:val="es-MX" w:eastAsia="es-MX"/>
        </w:rPr>
      </w:pPr>
    </w:p>
    <w:p w:rsidR="00716128" w:rsidRPr="00716128" w:rsidRDefault="00716128" w:rsidP="00716128">
      <w:pPr>
        <w:jc w:val="both"/>
        <w:rPr>
          <w:rFonts w:ascii="Arial" w:eastAsia="Arial Unicode MS" w:hAnsi="Arial" w:cs="Arial"/>
          <w:lang w:val="es-MX" w:eastAsia="es-MX"/>
        </w:rPr>
      </w:pPr>
      <w:r w:rsidRPr="00716128">
        <w:rPr>
          <w:rFonts w:ascii="Arial" w:eastAsia="Arial Unicode MS" w:hAnsi="Arial" w:cs="Arial"/>
          <w:lang w:val="es-MX" w:eastAsia="es-MX"/>
        </w:rPr>
        <w:t>DIP. GINA GERARDINA CAMPUZANO GONZÁLEZ</w:t>
      </w:r>
      <w:r>
        <w:rPr>
          <w:rFonts w:ascii="Arial" w:eastAsia="Arial Unicode MS" w:hAnsi="Arial" w:cs="Arial"/>
          <w:lang w:val="es-MX" w:eastAsia="es-MX"/>
        </w:rPr>
        <w:t xml:space="preserve">, PRESIDENTE; </w:t>
      </w:r>
      <w:r w:rsidRPr="00716128">
        <w:rPr>
          <w:rFonts w:ascii="Arial" w:eastAsia="Arial Unicode MS" w:hAnsi="Arial" w:cs="Arial"/>
          <w:lang w:val="es-MX" w:eastAsia="es-MX"/>
        </w:rPr>
        <w:t>DIP. MARISOL PEÑA RODRÍGUEZ</w:t>
      </w:r>
      <w:r>
        <w:rPr>
          <w:rFonts w:ascii="Arial" w:eastAsia="Arial Unicode MS" w:hAnsi="Arial" w:cs="Arial"/>
          <w:lang w:val="es-MX" w:eastAsia="es-MX"/>
        </w:rPr>
        <w:t xml:space="preserve">, SECRETARIA; </w:t>
      </w:r>
      <w:r w:rsidRPr="00716128">
        <w:rPr>
          <w:rFonts w:ascii="Arial" w:eastAsia="Arial Unicode MS" w:hAnsi="Arial" w:cs="Arial"/>
          <w:lang w:val="es-MX" w:eastAsia="es-MX"/>
        </w:rPr>
        <w:t>DIP. MAR GRECIA OLIVA GUERRERO</w:t>
      </w:r>
      <w:r>
        <w:rPr>
          <w:rFonts w:ascii="Arial" w:eastAsia="Arial Unicode MS" w:hAnsi="Arial" w:cs="Arial"/>
          <w:lang w:val="es-MX" w:eastAsia="es-MX"/>
        </w:rPr>
        <w:t xml:space="preserve">, </w:t>
      </w:r>
      <w:r w:rsidRPr="00716128">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716128" w:rsidRPr="00716128" w:rsidRDefault="00716128" w:rsidP="00716128">
      <w:pPr>
        <w:spacing w:line="480" w:lineRule="auto"/>
        <w:jc w:val="both"/>
        <w:rPr>
          <w:rFonts w:ascii="Segoe UI" w:hAnsi="Segoe UI" w:cs="Segoe UI"/>
          <w:sz w:val="26"/>
          <w:szCs w:val="26"/>
          <w:lang w:val="es-MX" w:eastAsia="es-MX"/>
        </w:rPr>
      </w:pPr>
    </w:p>
    <w:p w:rsidR="00716128" w:rsidRPr="00716128" w:rsidRDefault="00716128" w:rsidP="00050ACC">
      <w:pPr>
        <w:jc w:val="both"/>
        <w:rPr>
          <w:rFonts w:ascii="Arial" w:eastAsia="Arial Unicode MS" w:hAnsi="Arial" w:cs="Arial"/>
          <w:lang w:val="es-MX" w:eastAsia="en-US"/>
        </w:rPr>
      </w:pPr>
    </w:p>
    <w:sectPr w:rsidR="00716128" w:rsidRPr="00716128"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092" w:rsidRDefault="00993092" w:rsidP="00FA3700">
      <w:r>
        <w:separator/>
      </w:r>
    </w:p>
  </w:endnote>
  <w:endnote w:type="continuationSeparator" w:id="0">
    <w:p w:rsidR="00993092" w:rsidRDefault="0099309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3E7D99" w:rsidRDefault="003E7D99">
        <w:pPr>
          <w:pStyle w:val="Piedepgina"/>
          <w:jc w:val="right"/>
        </w:pPr>
        <w:r>
          <w:fldChar w:fldCharType="begin"/>
        </w:r>
        <w:r>
          <w:instrText xml:space="preserve"> PAGE   \* MERGEFORMAT </w:instrText>
        </w:r>
        <w:r>
          <w:fldChar w:fldCharType="separate"/>
        </w:r>
        <w:r w:rsidR="00716128">
          <w:rPr>
            <w:noProof/>
          </w:rPr>
          <w:t>365</w:t>
        </w:r>
        <w:r>
          <w:rPr>
            <w:noProof/>
          </w:rPr>
          <w:fldChar w:fldCharType="end"/>
        </w:r>
      </w:p>
    </w:sdtContent>
  </w:sdt>
  <w:p w:rsidR="003E7D99" w:rsidRDefault="003E7D9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092" w:rsidRDefault="00993092" w:rsidP="00FA3700">
      <w:r>
        <w:separator/>
      </w:r>
    </w:p>
  </w:footnote>
  <w:footnote w:type="continuationSeparator" w:id="0">
    <w:p w:rsidR="00993092" w:rsidRDefault="0099309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3E7D99"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3E7D99" w:rsidTr="004D28F6">
            <w:trPr>
              <w:trHeight w:val="1402"/>
            </w:trPr>
            <w:tc>
              <w:tcPr>
                <w:tcW w:w="4570" w:type="dxa"/>
              </w:tcPr>
              <w:p w:rsidR="003E7D99" w:rsidRDefault="003E7D99"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3E7D99" w:rsidRDefault="003E7D99" w:rsidP="00F8571A">
                <w:pPr>
                  <w:pStyle w:val="Encabezado"/>
                  <w:tabs>
                    <w:tab w:val="clear" w:pos="4252"/>
                  </w:tabs>
                  <w:rPr>
                    <w:rFonts w:ascii="Candara" w:hAnsi="Candara" w:cs="Arial"/>
                    <w:b/>
                    <w:i/>
                    <w:sz w:val="18"/>
                    <w:szCs w:val="18"/>
                  </w:rPr>
                </w:pPr>
              </w:p>
              <w:p w:rsidR="003E7D99" w:rsidRPr="004D28F6" w:rsidRDefault="003E7D99" w:rsidP="004177E0">
                <w:pPr>
                  <w:pStyle w:val="Encabezado"/>
                  <w:tabs>
                    <w:tab w:val="clear" w:pos="4252"/>
                  </w:tabs>
                  <w:jc w:val="right"/>
                  <w:rPr>
                    <w:rFonts w:ascii="Arial" w:hAnsi="Arial" w:cs="Arial"/>
                    <w:b/>
                    <w:sz w:val="24"/>
                    <w:szCs w:val="24"/>
                  </w:rPr>
                </w:pPr>
                <w:r w:rsidRPr="004D28F6">
                  <w:rPr>
                    <w:rFonts w:ascii="Arial" w:hAnsi="Arial" w:cs="Arial"/>
                    <w:b/>
                    <w:sz w:val="24"/>
                    <w:szCs w:val="24"/>
                  </w:rPr>
                  <w:t>CÓDIGO CIVIL</w:t>
                </w:r>
              </w:p>
              <w:p w:rsidR="003E7D99" w:rsidRPr="004D28F6" w:rsidRDefault="003E7D99" w:rsidP="00655FCC">
                <w:pPr>
                  <w:pStyle w:val="Encabezado"/>
                  <w:tabs>
                    <w:tab w:val="clear" w:pos="4252"/>
                  </w:tabs>
                  <w:rPr>
                    <w:rFonts w:ascii="Arial" w:hAnsi="Arial" w:cs="Arial"/>
                    <w:b/>
                    <w:i/>
                    <w:sz w:val="18"/>
                    <w:szCs w:val="18"/>
                  </w:rPr>
                </w:pPr>
              </w:p>
              <w:p w:rsidR="003E7D99" w:rsidRPr="004D28F6" w:rsidRDefault="003E7D99" w:rsidP="00FA3700">
                <w:pPr>
                  <w:pStyle w:val="Encabezado"/>
                  <w:jc w:val="center"/>
                  <w:rPr>
                    <w:rFonts w:ascii="Arial" w:hAnsi="Arial" w:cs="Arial"/>
                    <w:b/>
                    <w:i/>
                    <w:sz w:val="18"/>
                    <w:szCs w:val="18"/>
                  </w:rPr>
                </w:pPr>
              </w:p>
              <w:p w:rsidR="003E7D99" w:rsidRPr="004D28F6" w:rsidRDefault="003E7D99" w:rsidP="00FA3700">
                <w:pPr>
                  <w:pStyle w:val="Encabezado"/>
                  <w:jc w:val="center"/>
                  <w:rPr>
                    <w:rFonts w:ascii="Arial" w:hAnsi="Arial" w:cs="Arial"/>
                    <w:b/>
                    <w:i/>
                    <w:sz w:val="18"/>
                    <w:szCs w:val="18"/>
                  </w:rPr>
                </w:pPr>
              </w:p>
              <w:p w:rsidR="003E7D99" w:rsidRPr="004D28F6" w:rsidRDefault="003E7D99"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3E7D99" w:rsidRPr="004D28F6" w:rsidRDefault="003E7D99"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3E7D99" w:rsidRPr="004D28F6" w:rsidRDefault="003E7D99" w:rsidP="00B0106B">
                <w:pPr>
                  <w:pStyle w:val="Encabezado"/>
                  <w:jc w:val="right"/>
                  <w:rPr>
                    <w:rFonts w:asciiTheme="minorHAnsi" w:eastAsiaTheme="minorHAnsi" w:hAnsiTheme="minorHAnsi"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 xml:space="preserve">DECRETO No. </w:t>
                </w:r>
                <w:r w:rsidR="005B5985">
                  <w:rPr>
                    <w:rFonts w:asciiTheme="minorHAnsi" w:eastAsiaTheme="minorHAnsi" w:hAnsiTheme="minorHAnsi" w:cs="Arial"/>
                    <w:i/>
                    <w:color w:val="000000" w:themeColor="text1"/>
                    <w:sz w:val="14"/>
                    <w:szCs w:val="16"/>
                  </w:rPr>
                  <w:t>12</w:t>
                </w:r>
                <w:r w:rsidR="00716128">
                  <w:rPr>
                    <w:rFonts w:asciiTheme="minorHAnsi" w:eastAsiaTheme="minorHAnsi" w:hAnsiTheme="minorHAnsi" w:cs="Arial"/>
                    <w:i/>
                    <w:color w:val="000000" w:themeColor="text1"/>
                    <w:sz w:val="14"/>
                    <w:szCs w:val="16"/>
                  </w:rPr>
                  <w:t>3</w:t>
                </w:r>
                <w:r>
                  <w:rPr>
                    <w:rFonts w:asciiTheme="minorHAnsi" w:eastAsiaTheme="minorHAnsi" w:hAnsiTheme="minorHAnsi" w:cs="Arial"/>
                    <w:i/>
                    <w:color w:val="000000" w:themeColor="text1"/>
                    <w:sz w:val="14"/>
                    <w:szCs w:val="16"/>
                  </w:rPr>
                  <w:t xml:space="preserve"> </w:t>
                </w:r>
                <w:r w:rsidRPr="004D28F6">
                  <w:rPr>
                    <w:rFonts w:asciiTheme="minorHAnsi" w:eastAsiaTheme="minorHAnsi" w:hAnsiTheme="minorHAnsi" w:cs="Arial"/>
                    <w:i/>
                    <w:color w:val="000000" w:themeColor="text1"/>
                    <w:sz w:val="14"/>
                    <w:szCs w:val="16"/>
                  </w:rPr>
                  <w:t xml:space="preserve">DE LA LXVII LEGISLATURA, </w:t>
                </w:r>
              </w:p>
              <w:p w:rsidR="003E7D99" w:rsidRPr="00B0106B" w:rsidRDefault="003E7D99" w:rsidP="00716128">
                <w:pPr>
                  <w:pStyle w:val="Encabezado"/>
                  <w:jc w:val="right"/>
                  <w:rPr>
                    <w:rFonts w:ascii="Arial" w:eastAsiaTheme="minorHAnsi" w:hAnsi="Arial" w:cs="Arial"/>
                    <w:i/>
                    <w:color w:val="000000" w:themeColor="text1"/>
                    <w:sz w:val="14"/>
                    <w:szCs w:val="16"/>
                  </w:rPr>
                </w:pPr>
                <w:r w:rsidRPr="004D28F6">
                  <w:rPr>
                    <w:rFonts w:asciiTheme="minorHAnsi" w:eastAsiaTheme="minorHAnsi" w:hAnsiTheme="minorHAnsi" w:cs="Arial"/>
                    <w:i/>
                    <w:color w:val="000000" w:themeColor="text1"/>
                    <w:sz w:val="14"/>
                    <w:szCs w:val="16"/>
                  </w:rPr>
                  <w:t>PUBLICADO EN PERIÓDICO OFICIAL NO.</w:t>
                </w:r>
                <w:r w:rsidR="00716128">
                  <w:rPr>
                    <w:rFonts w:asciiTheme="minorHAnsi" w:eastAsiaTheme="minorHAnsi" w:hAnsiTheme="minorHAnsi" w:cs="Arial"/>
                    <w:i/>
                    <w:color w:val="000000" w:themeColor="text1"/>
                    <w:sz w:val="14"/>
                    <w:szCs w:val="16"/>
                  </w:rPr>
                  <w:t>26</w:t>
                </w:r>
                <w:r w:rsidRPr="004D28F6">
                  <w:rPr>
                    <w:rFonts w:asciiTheme="minorHAnsi" w:eastAsiaTheme="minorHAnsi" w:hAnsiTheme="minorHAnsi" w:cs="Arial"/>
                    <w:i/>
                    <w:color w:val="000000" w:themeColor="text1"/>
                    <w:sz w:val="14"/>
                    <w:szCs w:val="16"/>
                  </w:rPr>
                  <w:t xml:space="preserve"> </w:t>
                </w:r>
                <w:r w:rsidR="005B5985">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716128">
                  <w:rPr>
                    <w:rFonts w:asciiTheme="minorHAnsi" w:eastAsiaTheme="minorHAnsi" w:hAnsiTheme="minorHAnsi" w:cs="Arial"/>
                    <w:i/>
                    <w:color w:val="000000" w:themeColor="text1"/>
                    <w:sz w:val="14"/>
                    <w:szCs w:val="16"/>
                  </w:rPr>
                  <w:t>30</w:t>
                </w:r>
                <w:bookmarkStart w:id="0" w:name="_GoBack"/>
                <w:bookmarkEnd w:id="0"/>
                <w:r w:rsidRPr="004D28F6">
                  <w:rPr>
                    <w:rFonts w:asciiTheme="minorHAnsi" w:eastAsiaTheme="minorHAnsi" w:hAnsiTheme="minorHAnsi" w:cs="Arial"/>
                    <w:i/>
                    <w:color w:val="000000" w:themeColor="text1"/>
                    <w:sz w:val="14"/>
                    <w:szCs w:val="16"/>
                  </w:rPr>
                  <w:t xml:space="preserve"> DE </w:t>
                </w:r>
                <w:r w:rsidR="005B5985">
                  <w:rPr>
                    <w:rFonts w:asciiTheme="minorHAnsi" w:eastAsiaTheme="minorHAnsi" w:hAnsiTheme="minorHAnsi" w:cs="Arial"/>
                    <w:i/>
                    <w:color w:val="000000" w:themeColor="text1"/>
                    <w:sz w:val="14"/>
                    <w:szCs w:val="16"/>
                  </w:rPr>
                  <w:t>MARZO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3E7D99" w:rsidRPr="00340D16" w:rsidRDefault="003E7D99" w:rsidP="00680DC6">
          <w:pPr>
            <w:pStyle w:val="Encabezado"/>
            <w:jc w:val="center"/>
          </w:pPr>
        </w:p>
      </w:tc>
    </w:tr>
  </w:tbl>
  <w:p w:rsidR="003E7D99" w:rsidRDefault="003E7D99" w:rsidP="004356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985" w:rsidRDefault="005B59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D6DAA"/>
    <w:rsid w:val="000D76DE"/>
    <w:rsid w:val="000F0F41"/>
    <w:rsid w:val="000F180E"/>
    <w:rsid w:val="000F7E1E"/>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7545"/>
    <w:rsid w:val="00760F9E"/>
    <w:rsid w:val="0076547E"/>
    <w:rsid w:val="00775EB1"/>
    <w:rsid w:val="00787895"/>
    <w:rsid w:val="007A1D28"/>
    <w:rsid w:val="007A7E7D"/>
    <w:rsid w:val="007B20B7"/>
    <w:rsid w:val="007C099A"/>
    <w:rsid w:val="007C3EAD"/>
    <w:rsid w:val="007C4A6A"/>
    <w:rsid w:val="007C638C"/>
    <w:rsid w:val="007C6F3E"/>
    <w:rsid w:val="007D64F7"/>
    <w:rsid w:val="007E47AF"/>
    <w:rsid w:val="007E6AC9"/>
    <w:rsid w:val="007F258D"/>
    <w:rsid w:val="007F3F8C"/>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2F9A"/>
    <w:rsid w:val="00881737"/>
    <w:rsid w:val="00881826"/>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778F"/>
    <w:rsid w:val="00A20FA7"/>
    <w:rsid w:val="00A214E1"/>
    <w:rsid w:val="00A249B9"/>
    <w:rsid w:val="00A5492C"/>
    <w:rsid w:val="00A6332E"/>
    <w:rsid w:val="00A70B91"/>
    <w:rsid w:val="00A8197C"/>
    <w:rsid w:val="00A943D3"/>
    <w:rsid w:val="00A9488C"/>
    <w:rsid w:val="00AA7000"/>
    <w:rsid w:val="00AC4388"/>
    <w:rsid w:val="00AD383B"/>
    <w:rsid w:val="00AD56C3"/>
    <w:rsid w:val="00AE2843"/>
    <w:rsid w:val="00AE3149"/>
    <w:rsid w:val="00AE6014"/>
    <w:rsid w:val="00AF000C"/>
    <w:rsid w:val="00AF20EB"/>
    <w:rsid w:val="00AF7B39"/>
    <w:rsid w:val="00B0106B"/>
    <w:rsid w:val="00B11743"/>
    <w:rsid w:val="00B147C3"/>
    <w:rsid w:val="00B30895"/>
    <w:rsid w:val="00B35468"/>
    <w:rsid w:val="00B41D89"/>
    <w:rsid w:val="00B47752"/>
    <w:rsid w:val="00B509BF"/>
    <w:rsid w:val="00B54596"/>
    <w:rsid w:val="00B63D5F"/>
    <w:rsid w:val="00B73DB3"/>
    <w:rsid w:val="00B822C3"/>
    <w:rsid w:val="00B84F60"/>
    <w:rsid w:val="00B95D3C"/>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62F0F"/>
    <w:rsid w:val="00C65DFF"/>
    <w:rsid w:val="00C716AA"/>
    <w:rsid w:val="00C721F5"/>
    <w:rsid w:val="00C82DF3"/>
    <w:rsid w:val="00C962B4"/>
    <w:rsid w:val="00CA4D38"/>
    <w:rsid w:val="00CA5EEE"/>
    <w:rsid w:val="00CA78AE"/>
    <w:rsid w:val="00CB1026"/>
    <w:rsid w:val="00CB6A92"/>
    <w:rsid w:val="00CD2D07"/>
    <w:rsid w:val="00CE1CC3"/>
    <w:rsid w:val="00CF5287"/>
    <w:rsid w:val="00D01A70"/>
    <w:rsid w:val="00D06331"/>
    <w:rsid w:val="00D162A5"/>
    <w:rsid w:val="00D32A6A"/>
    <w:rsid w:val="00D4753E"/>
    <w:rsid w:val="00D532BA"/>
    <w:rsid w:val="00D5411A"/>
    <w:rsid w:val="00D6650F"/>
    <w:rsid w:val="00D6784C"/>
    <w:rsid w:val="00D70BE5"/>
    <w:rsid w:val="00D864AC"/>
    <w:rsid w:val="00D87529"/>
    <w:rsid w:val="00DA2B92"/>
    <w:rsid w:val="00DA36C6"/>
    <w:rsid w:val="00DA3AE3"/>
    <w:rsid w:val="00DB45E0"/>
    <w:rsid w:val="00DC0CBA"/>
    <w:rsid w:val="00DD60AA"/>
    <w:rsid w:val="00DF5DC5"/>
    <w:rsid w:val="00DF6D99"/>
    <w:rsid w:val="00E02179"/>
    <w:rsid w:val="00E338FF"/>
    <w:rsid w:val="00E429F1"/>
    <w:rsid w:val="00E8113C"/>
    <w:rsid w:val="00E93839"/>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5AD5-E029-4D29-BAB5-F0E99359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365</Pages>
  <Words>130222</Words>
  <Characters>716224</Characters>
  <Application>Microsoft Office Word</Application>
  <DocSecurity>0</DocSecurity>
  <Lines>5968</Lines>
  <Paragraphs>1689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2017-06-01T16:46:00Z</dcterms:created>
  <dcterms:modified xsi:type="dcterms:W3CDTF">2017-06-01T17:04:00Z</dcterms:modified>
</cp:coreProperties>
</file>