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2"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2"/>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3" w:name="_Hlk34314134"/>
      <w:r>
        <w:rPr>
          <w:rFonts w:asciiTheme="minorHAnsi" w:eastAsia="Calibri" w:hAnsiTheme="minorHAnsi" w:cstheme="minorHAnsi"/>
          <w:color w:val="0070C0"/>
          <w:sz w:val="16"/>
          <w:szCs w:val="16"/>
          <w:lang w:eastAsia="en-US"/>
        </w:rPr>
        <w:t>REFORMADO POR DEC. 193 P.O. 15 DEL 20 DE FEBRERO DE 2020.</w:t>
      </w:r>
      <w:bookmarkEnd w:id="3"/>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Tratándose de miembros de comunidades indígenas o comunidades menonitas se les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lastRenderedPageBreak/>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4" w:name="_Hlk80266734"/>
      <w:r>
        <w:rPr>
          <w:rFonts w:asciiTheme="minorHAnsi" w:hAnsiTheme="minorHAnsi" w:cstheme="minorHAnsi"/>
          <w:color w:val="0070C0"/>
          <w:sz w:val="16"/>
          <w:szCs w:val="16"/>
          <w:lang w:val="es-ES"/>
        </w:rPr>
        <w:t>REFORMADO POR DEC. 315, P.O. 56 DEL 15 DE JULIO DEL 2021.</w:t>
      </w:r>
      <w:bookmarkEnd w:id="4"/>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 xml:space="preserve">El Estado garantizará la libre participación de los jóvenes en el desarrollo político, social, económico y cultural, así como su integración social en los términos que disponga la ley; </w:t>
      </w:r>
      <w:r w:rsidR="0072763A" w:rsidRPr="002D04BA">
        <w:rPr>
          <w:rFonts w:ascii="Arial" w:hAnsi="Arial" w:cs="Arial"/>
          <w:sz w:val="22"/>
          <w:szCs w:val="22"/>
        </w:rPr>
        <w:lastRenderedPageBreak/>
        <w:t>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La conciencia de su identidad indígena deberá ser criterio fundamental para determinar a quiénes se aplican las disposiciones sobre pueblos indígenas. El derecho de los pueblos indígenas y menonitas a </w:t>
      </w:r>
      <w:r w:rsidRPr="004268C2">
        <w:rPr>
          <w:rFonts w:ascii="Arial" w:hAnsi="Arial" w:cs="Arial"/>
          <w:sz w:val="22"/>
          <w:szCs w:val="22"/>
          <w:lang w:val="es-ES"/>
        </w:rPr>
        <w:lastRenderedPageBreak/>
        <w:t xml:space="preserve">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w:t>
      </w:r>
      <w:r w:rsidRPr="00BA7C0B">
        <w:rPr>
          <w:rFonts w:ascii="Arial" w:hAnsi="Arial" w:cs="Arial"/>
          <w:sz w:val="22"/>
          <w:szCs w:val="22"/>
          <w:lang w:val="es-ES_tradnl"/>
        </w:rPr>
        <w:lastRenderedPageBreak/>
        <w:t>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w:t>
      </w:r>
      <w:r w:rsidR="0072763A" w:rsidRPr="002D04BA">
        <w:rPr>
          <w:rFonts w:ascii="Arial" w:hAnsi="Arial" w:cs="Arial"/>
          <w:sz w:val="22"/>
          <w:szCs w:val="22"/>
        </w:rPr>
        <w:lastRenderedPageBreak/>
        <w:t>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5" w:name="_Hlk96950680"/>
      <w:r w:rsidRPr="009B084E">
        <w:rPr>
          <w:rFonts w:asciiTheme="minorHAnsi" w:hAnsiTheme="minorHAnsi" w:cs="Arial"/>
          <w:iCs/>
          <w:color w:val="0070C0"/>
          <w:sz w:val="16"/>
          <w:szCs w:val="16"/>
        </w:rPr>
        <w:t>REFORMADO POR DEC. 566, P.O. 11 DEL 6 DE FEBRERO DE 2022.</w:t>
      </w:r>
      <w:bookmarkEnd w:id="5"/>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5F1015B3" w14:textId="77777777" w:rsidR="00252785" w:rsidRDefault="00252785" w:rsidP="00252785">
      <w:pPr>
        <w:jc w:val="both"/>
        <w:rPr>
          <w:rFonts w:ascii="Arial" w:hAnsi="Arial" w:cs="Arial"/>
          <w:sz w:val="24"/>
          <w:szCs w:val="24"/>
          <w:lang w:val="es-MX"/>
        </w:rPr>
      </w:pPr>
    </w:p>
    <w:p w14:paraId="15ABBAD5" w14:textId="77777777" w:rsidR="00252785" w:rsidRPr="0072427E" w:rsidRDefault="00252785" w:rsidP="00252785">
      <w:pPr>
        <w:jc w:val="right"/>
        <w:rPr>
          <w:rFonts w:asciiTheme="minorHAnsi" w:hAnsiTheme="minorHAnsi" w:cstheme="minorHAnsi"/>
          <w:b/>
          <w:sz w:val="14"/>
          <w:szCs w:val="14"/>
        </w:rPr>
      </w:pPr>
      <w:bookmarkStart w:id="6"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6"/>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299721BC" w:rsidR="00FA6BC3" w:rsidRDefault="00FA6BC3" w:rsidP="0087385B">
      <w:pPr>
        <w:rPr>
          <w:rFonts w:ascii="Arial" w:hAnsi="Arial" w:cs="Arial"/>
          <w:b/>
          <w:sz w:val="22"/>
          <w:szCs w:val="22"/>
        </w:rPr>
      </w:pPr>
    </w:p>
    <w:p w14:paraId="25F60456" w14:textId="6A112551" w:rsidR="00096526" w:rsidRDefault="00096526" w:rsidP="0087385B">
      <w:pPr>
        <w:rPr>
          <w:rFonts w:ascii="Arial" w:hAnsi="Arial" w:cs="Arial"/>
          <w:b/>
          <w:sz w:val="22"/>
          <w:szCs w:val="22"/>
        </w:rPr>
      </w:pPr>
    </w:p>
    <w:p w14:paraId="2ED1789B" w14:textId="350CA687" w:rsidR="00096526" w:rsidRDefault="00096526" w:rsidP="0087385B">
      <w:pPr>
        <w:rPr>
          <w:rFonts w:ascii="Arial" w:hAnsi="Arial" w:cs="Arial"/>
          <w:b/>
          <w:sz w:val="22"/>
          <w:szCs w:val="22"/>
        </w:rPr>
      </w:pPr>
    </w:p>
    <w:p w14:paraId="415D692D" w14:textId="77777777" w:rsidR="00096526" w:rsidRPr="002D04BA" w:rsidRDefault="00096526" w:rsidP="0087385B">
      <w:pPr>
        <w:rPr>
          <w:rFonts w:ascii="Arial" w:hAnsi="Arial" w:cs="Arial"/>
          <w:b/>
          <w:sz w:val="22"/>
          <w:szCs w:val="22"/>
        </w:rPr>
      </w:pPr>
    </w:p>
    <w:p w14:paraId="6E034E18" w14:textId="77777777"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4A199541"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252785" w:rsidRPr="00252785">
        <w:rPr>
          <w:rFonts w:ascii="Arial" w:hAnsi="Arial" w:cs="Arial"/>
          <w:sz w:val="22"/>
          <w:szCs w:val="22"/>
          <w:lang w:val="es-MX"/>
        </w:rPr>
        <w:t>Las elecciones de Gobernador o Gobernadora del Estado, diputados y diputadas, e integrantes de los ayuntamientos se realizarán mediante sufragio universal, libre, secreto y directo. La jornada comicial tendrá lugar el primer domingo de junio del año que corresponda.</w:t>
      </w:r>
    </w:p>
    <w:p w14:paraId="5CB4129C" w14:textId="0EB49661"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14:paraId="6CE0CC45" w14:textId="3F92F96D"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77777777" w:rsidR="00252785" w:rsidRDefault="00252785" w:rsidP="00D73D09">
      <w:pPr>
        <w:pStyle w:val="Textoindependiente"/>
        <w:jc w:val="right"/>
        <w:rPr>
          <w:rFonts w:asciiTheme="minorHAnsi" w:hAnsiTheme="minorHAnsi" w:cs="Arial"/>
          <w:i/>
          <w:color w:val="0070C0"/>
          <w:sz w:val="14"/>
          <w:szCs w:val="22"/>
        </w:rPr>
      </w:pP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lastRenderedPageBreak/>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4D9D1797"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A26C25" w:rsidRPr="00A26C25">
        <w:rPr>
          <w:rFonts w:ascii="Arial" w:hAnsi="Arial" w:cs="Arial"/>
          <w:sz w:val="22"/>
          <w:szCs w:val="22"/>
          <w:lang w:val="es-MX"/>
        </w:rPr>
        <w:t>La elección de las y los diputadas y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4F78B3D3" w14:textId="77777777" w:rsidR="00A26C25" w:rsidRPr="0072427E" w:rsidRDefault="00A26C25" w:rsidP="00A26C25">
      <w:pPr>
        <w:jc w:val="right"/>
        <w:rPr>
          <w:rFonts w:asciiTheme="minorHAnsi" w:hAnsiTheme="minorHAnsi" w:cstheme="minorHAnsi"/>
          <w:b/>
          <w:sz w:val="14"/>
          <w:szCs w:val="14"/>
        </w:rPr>
      </w:pPr>
      <w:bookmarkStart w:id="7"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7"/>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7777777" w:rsidR="00A26C25" w:rsidRPr="00A26C25" w:rsidRDefault="00A26C25" w:rsidP="00A26C25">
      <w:pPr>
        <w:numPr>
          <w:ilvl w:val="0"/>
          <w:numId w:val="18"/>
        </w:numPr>
        <w:tabs>
          <w:tab w:val="left" w:pos="567"/>
        </w:tabs>
        <w:ind w:left="0" w:firstLine="0"/>
        <w:contextualSpacing/>
        <w:jc w:val="both"/>
        <w:rPr>
          <w:rFonts w:ascii="Arial" w:hAnsi="Arial" w:cs="Arial"/>
          <w:sz w:val="22"/>
          <w:szCs w:val="22"/>
          <w:lang w:val="es-ES"/>
        </w:rPr>
      </w:pPr>
      <w:r w:rsidRPr="00A26C25">
        <w:rPr>
          <w:rFonts w:ascii="Arial" w:hAnsi="Arial" w:cs="Arial"/>
          <w:sz w:val="22"/>
          <w:szCs w:val="22"/>
          <w:lang w:val="es-ES"/>
        </w:rPr>
        <w:lastRenderedPageBreak/>
        <w:t>Ser ciudadana o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A26C25" w:rsidRDefault="00A26C25" w:rsidP="00A26C25">
      <w:pPr>
        <w:tabs>
          <w:tab w:val="left" w:pos="567"/>
        </w:tabs>
        <w:contextualSpacing/>
        <w:jc w:val="both"/>
        <w:rPr>
          <w:rFonts w:ascii="Arial" w:hAnsi="Arial" w:cs="Arial"/>
          <w:sz w:val="24"/>
          <w:szCs w:val="24"/>
          <w:lang w:val="es-ES"/>
        </w:rPr>
      </w:pPr>
      <w:r w:rsidRPr="00A26C25">
        <w:rPr>
          <w:rFonts w:ascii="Arial" w:hAnsi="Arial" w:cs="Arial"/>
          <w:sz w:val="24"/>
          <w:szCs w:val="24"/>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493EA425" w14:textId="77777777" w:rsidR="00A26C25" w:rsidRDefault="00A26C25" w:rsidP="00A26C25">
      <w:pPr>
        <w:jc w:val="right"/>
        <w:rPr>
          <w:rFonts w:asciiTheme="minorHAnsi" w:hAnsiTheme="minorHAnsi" w:cstheme="minorHAnsi"/>
          <w:sz w:val="14"/>
          <w:szCs w:val="14"/>
          <w:lang w:val="es-MX"/>
        </w:rPr>
      </w:pPr>
    </w:p>
    <w:p w14:paraId="19476E96" w14:textId="77777777" w:rsidR="0072763A" w:rsidRPr="002D04BA" w:rsidRDefault="0072763A" w:rsidP="00A26C25">
      <w:pPr>
        <w:pStyle w:val="Prrafodelista"/>
        <w:tabs>
          <w:tab w:val="left" w:pos="567"/>
        </w:tabs>
        <w:ind w:left="0"/>
        <w:jc w:val="right"/>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8"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8"/>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lastRenderedPageBreak/>
        <w:t>Las Diputadas y 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 xml:space="preserve">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w:t>
      </w:r>
      <w:r w:rsidR="005D69E8" w:rsidRPr="005D69E8">
        <w:rPr>
          <w:rFonts w:ascii="Arial" w:hAnsi="Arial" w:cs="Arial"/>
          <w:color w:val="000000"/>
          <w:sz w:val="22"/>
        </w:rPr>
        <w:lastRenderedPageBreak/>
        <w:t>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w:t>
      </w:r>
      <w:r w:rsidRPr="00FF6C96">
        <w:rPr>
          <w:rFonts w:ascii="Arial" w:hAnsi="Arial" w:cs="Arial"/>
          <w:sz w:val="22"/>
          <w:szCs w:val="22"/>
        </w:rPr>
        <w:lastRenderedPageBreak/>
        <w:t xml:space="preserve">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Ratificar a las personas titulares de la Fiscalía General del Estado, a la persona titular de la Secretaria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lastRenderedPageBreak/>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9" w:name="_Hlk62733285"/>
      <w:r>
        <w:rPr>
          <w:rFonts w:asciiTheme="minorHAnsi" w:hAnsiTheme="minorHAnsi" w:cstheme="minorHAnsi"/>
          <w:bCs/>
          <w:color w:val="0070C0"/>
          <w:sz w:val="16"/>
          <w:szCs w:val="16"/>
        </w:rPr>
        <w:t>ADICIONADO POR DEC. 287 P.O. 43 DEL 28 DE MAYO DE 2020.</w:t>
      </w:r>
      <w:bookmarkEnd w:id="9"/>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Tomar la protesta de ley, en su caso, a la Gobernadora o Gobernador, a las Magistradas y Magistrados del Tribunal Superior de Justicia, del Tribunal de Menores Infractores, al Titular de la 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5D953CF1" w14:textId="77777777" w:rsidR="00895B42" w:rsidRPr="00895B42" w:rsidRDefault="00895B42"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lastRenderedPageBreak/>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lastRenderedPageBreak/>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0"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0"/>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DAB546D" w14:textId="087254E3"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00D28E80" w14:textId="77777777" w:rsidR="0072763A" w:rsidRPr="002D04BA" w:rsidRDefault="0072763A" w:rsidP="0087385B">
      <w:pPr>
        <w:jc w:val="both"/>
        <w:rPr>
          <w:rFonts w:ascii="Arial" w:hAnsi="Arial" w:cs="Arial"/>
          <w:sz w:val="22"/>
          <w:szCs w:val="22"/>
        </w:rPr>
      </w:pP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No ser Secretaria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19CFBB92" w:rsidR="0072763A" w:rsidRPr="002D04B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598CAFAC" w14:textId="77777777" w:rsidR="0072763A" w:rsidRPr="002D04BA" w:rsidRDefault="0072763A" w:rsidP="00A90FC9">
      <w:pPr>
        <w:jc w:val="right"/>
        <w:rPr>
          <w:rFonts w:ascii="Arial" w:hAnsi="Arial" w:cs="Arial"/>
          <w:sz w:val="22"/>
          <w:szCs w:val="22"/>
        </w:rPr>
      </w:pP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w:t>
      </w:r>
      <w:r w:rsidRPr="0001545D">
        <w:rPr>
          <w:rFonts w:ascii="Arial" w:hAnsi="Arial" w:cs="Arial"/>
          <w:sz w:val="22"/>
          <w:szCs w:val="22"/>
          <w:lang w:val="es-MX"/>
        </w:rPr>
        <w:lastRenderedPageBreak/>
        <w:t xml:space="preserve">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lastRenderedPageBreak/>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Proponer a la Consejera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lastRenderedPageBreak/>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lastRenderedPageBreak/>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45F3E1BA"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852D23" w:rsidRPr="00852D23">
        <w:rPr>
          <w:rFonts w:ascii="Arial" w:hAnsi="Arial" w:cs="Arial"/>
          <w:sz w:val="22"/>
          <w:szCs w:val="22"/>
          <w:lang w:val="es-ES"/>
        </w:rPr>
        <w:t>Para el despacho de los asuntos que le compete al Ejecutivo Estatal, contará con las dependencias, entidades y organismos que determine la ley; en el nombramiento de titulares de las Secretarías de Despacho deberá garantizarse la observancia del principio de paridad de género.</w:t>
      </w:r>
    </w:p>
    <w:p w14:paraId="2754E513" w14:textId="77777777" w:rsidR="00852D23" w:rsidRPr="00AC4D96" w:rsidRDefault="00852D23" w:rsidP="00852D2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BDE8123" w14:textId="77777777" w:rsidR="00243737" w:rsidRPr="00AC4D96" w:rsidRDefault="00243737" w:rsidP="00F65A14">
      <w:pPr>
        <w:jc w:val="both"/>
        <w:rPr>
          <w:rFonts w:ascii="Arial" w:hAnsi="Arial" w:cs="Arial"/>
          <w:b/>
          <w:sz w:val="16"/>
          <w:szCs w:val="16"/>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lastRenderedPageBreak/>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AC4D96">
        <w:rPr>
          <w:rFonts w:asciiTheme="minorHAnsi" w:hAnsiTheme="minorHAnsi" w:cs="Arial"/>
          <w:i/>
          <w:color w:val="0070C0"/>
          <w:sz w:val="16"/>
          <w:szCs w:val="16"/>
        </w:rPr>
        <w:t>PÁRRAFO</w:t>
      </w:r>
      <w:r w:rsidR="00236966" w:rsidRPr="00AC4D96">
        <w:rPr>
          <w:rFonts w:asciiTheme="minorHAnsi" w:hAnsiTheme="minorHAnsi" w:cs="Arial"/>
          <w:i/>
          <w:color w:val="0070C0"/>
          <w:sz w:val="16"/>
          <w:szCs w:val="16"/>
        </w:rPr>
        <w:t xml:space="preserve"> ADICIONADO POR DEC. 128</w:t>
      </w:r>
      <w:r w:rsidR="00381F49" w:rsidRPr="00AC4D96">
        <w:rPr>
          <w:rFonts w:asciiTheme="minorHAnsi" w:hAnsiTheme="minorHAnsi" w:cs="Arial"/>
          <w:i/>
          <w:color w:val="0070C0"/>
          <w:sz w:val="16"/>
          <w:szCs w:val="16"/>
        </w:rPr>
        <w:t>,</w:t>
      </w:r>
      <w:r w:rsidR="00236966" w:rsidRPr="00AC4D96">
        <w:rPr>
          <w:rFonts w:asciiTheme="minorHAnsi" w:hAnsiTheme="minorHAnsi" w:cs="Arial"/>
          <w:i/>
          <w:color w:val="0070C0"/>
          <w:sz w:val="16"/>
          <w:szCs w:val="16"/>
        </w:rPr>
        <w:t xml:space="preserve"> P. O. 19</w:t>
      </w:r>
      <w:r w:rsidR="00381F49" w:rsidRPr="00AC4D96">
        <w:rPr>
          <w:rFonts w:asciiTheme="minorHAnsi" w:hAnsiTheme="minorHAnsi" w:cs="Arial"/>
          <w:i/>
          <w:color w:val="0070C0"/>
          <w:sz w:val="16"/>
          <w:szCs w:val="16"/>
        </w:rPr>
        <w:t>,</w:t>
      </w:r>
      <w:r w:rsidR="00236966" w:rsidRPr="00AC4D96">
        <w:rPr>
          <w:rFonts w:asciiTheme="minorHAnsi" w:hAnsiTheme="minorHAnsi" w:cs="Arial"/>
          <w:i/>
          <w:color w:val="0070C0"/>
          <w:sz w:val="16"/>
          <w:szCs w:val="16"/>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AC4D96" w:rsidRDefault="007A1F5A" w:rsidP="00AC4D96">
      <w:pPr>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74ECB224" w14:textId="06F9852B" w:rsidR="00011408" w:rsidRPr="00AC4D96" w:rsidRDefault="00011408" w:rsidP="007A1F5A">
      <w:pPr>
        <w:jc w:val="right"/>
        <w:rPr>
          <w:rFonts w:asciiTheme="minorHAnsi" w:hAnsiTheme="minorHAnsi" w:cs="Arial"/>
          <w:color w:val="0070C0"/>
          <w:sz w:val="16"/>
          <w:szCs w:val="16"/>
        </w:rPr>
      </w:pPr>
      <w:r w:rsidRPr="00AC4D96">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AC4D96" w:rsidRDefault="00AC4D96" w:rsidP="00AC4D96">
      <w:pPr>
        <w:jc w:val="right"/>
        <w:rPr>
          <w:rFonts w:ascii="Arial" w:hAnsi="Arial" w:cs="Arial"/>
          <w:sz w:val="16"/>
          <w:szCs w:val="16"/>
        </w:rPr>
      </w:pPr>
      <w:r w:rsidRPr="00AC4D96">
        <w:rPr>
          <w:rFonts w:asciiTheme="minorHAnsi" w:hAnsiTheme="minorHAnsi" w:cstheme="minorHAnsi"/>
          <w:color w:val="0070C0"/>
          <w:sz w:val="16"/>
          <w:szCs w:val="16"/>
          <w:lang w:val="es-MX"/>
        </w:rPr>
        <w:t>PÁRRAFO REFORMADO POR DEC. 585 P.O. 11 EXT. DEL 24 DE MAYO DE 2022</w:t>
      </w:r>
      <w:r w:rsidRPr="00AC4D96">
        <w:rPr>
          <w:rFonts w:asciiTheme="minorHAnsi" w:hAnsiTheme="minorHAnsi" w:cstheme="minorHAnsi"/>
          <w:sz w:val="16"/>
          <w:szCs w:val="16"/>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AC4D96" w:rsidRDefault="00895B42" w:rsidP="00895B42">
      <w:pPr>
        <w:jc w:val="right"/>
        <w:rPr>
          <w:rFonts w:ascii="Arial" w:hAnsi="Arial" w:cs="Arial"/>
          <w:iCs/>
          <w:color w:val="000000"/>
        </w:rPr>
      </w:pPr>
      <w:r w:rsidRPr="00AC4D96">
        <w:rPr>
          <w:rFonts w:asciiTheme="minorHAnsi" w:hAnsiTheme="minorHAnsi"/>
          <w:iCs/>
          <w:color w:val="0070C0"/>
          <w:sz w:val="16"/>
          <w:szCs w:val="16"/>
        </w:rPr>
        <w:t>ARTICULO REFORMADO DEC. 51, LXVII, P. O. No. 8, 26 DE ENERO DE 2017</w:t>
      </w:r>
      <w:r w:rsidRPr="00AC4D96">
        <w:rPr>
          <w:rFonts w:asciiTheme="minorHAnsi" w:hAnsiTheme="minorHAnsi"/>
          <w:iCs/>
          <w:color w:val="0070C0"/>
          <w:sz w:val="14"/>
        </w:rPr>
        <w:t>.</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La Presidenta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Las magistradas, los magistrados, consejeras, consejeros y jueces estarán impedidos para el ejercicio de la abogacía, salvo en causa propia, durante el ejercicio de su encargo. Tampoco 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lastRenderedPageBreak/>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Será Presidenta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03F4B49F" w:rsidR="0072763A" w:rsidRPr="00C75728"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sido Gobernador</w:t>
      </w:r>
      <w:r w:rsidRPr="00C75728">
        <w:rPr>
          <w:rFonts w:ascii="Arial" w:hAnsi="Arial" w:cs="Arial"/>
          <w:iCs/>
          <w:sz w:val="22"/>
          <w:szCs w:val="22"/>
        </w:rPr>
        <w:t xml:space="preserve"> del Estado</w:t>
      </w:r>
      <w:r w:rsidRPr="00C75728">
        <w:rPr>
          <w:rFonts w:ascii="Arial" w:hAnsi="Arial" w:cs="Arial"/>
          <w:sz w:val="22"/>
          <w:szCs w:val="22"/>
        </w:rPr>
        <w:t>, titular de alguna de las secretarías de despacho del Ejecutivo, Fiscal General, Diputada, Diputado, Diputada Federal, Diputado Federal, Senadora, Senador, Presidente, Síndico o Regidor de Ayuntamiento, o Consejera, Consejero o Comisionada o Comisionado de algunos de los organismos constitucionales autónomos, durante el año previo al día de la elección</w:t>
      </w:r>
      <w:r w:rsidR="0072763A" w:rsidRPr="00C75728">
        <w:rPr>
          <w:rFonts w:ascii="Arial" w:hAnsi="Arial" w:cs="Arial"/>
          <w:sz w:val="22"/>
          <w:szCs w:val="22"/>
        </w:rPr>
        <w:t>.</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35D77F78" w:rsidR="0072763A" w:rsidRPr="002D04B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FAB9EF9" w:rsidR="00C75728" w:rsidRDefault="00C75728" w:rsidP="00C75728">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5FE7553" w14:textId="77777777" w:rsidR="00C75728" w:rsidRPr="0056217D" w:rsidRDefault="00C75728"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w:t>
      </w:r>
      <w:r w:rsidR="00B0649D" w:rsidRPr="002D04BA">
        <w:rPr>
          <w:rFonts w:ascii="Arial" w:hAnsi="Arial" w:cs="Arial"/>
          <w:color w:val="000000" w:themeColor="text1"/>
          <w:sz w:val="22"/>
          <w:szCs w:val="22"/>
        </w:rPr>
        <w:lastRenderedPageBreak/>
        <w:t>Invariablemente serán públicas y con carácter de solemnes, aquéllas en las que el Presidente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6CF8C278" w14:textId="1E496A69" w:rsidR="00566889" w:rsidRDefault="00566889" w:rsidP="00475AC4">
      <w:pPr>
        <w:pStyle w:val="Prrafodelista"/>
        <w:tabs>
          <w:tab w:val="left" w:pos="426"/>
        </w:tabs>
        <w:ind w:left="0"/>
        <w:jc w:val="right"/>
        <w:rPr>
          <w:rFonts w:asciiTheme="minorHAnsi" w:hAnsiTheme="minorHAnsi" w:cs="Arial"/>
          <w:i/>
          <w:sz w:val="14"/>
          <w:szCs w:val="22"/>
        </w:rPr>
      </w:pPr>
    </w:p>
    <w:p w14:paraId="0183F885" w14:textId="3EE1A689" w:rsidR="00566889" w:rsidRDefault="00566889" w:rsidP="00475AC4">
      <w:pPr>
        <w:pStyle w:val="Prrafodelista"/>
        <w:tabs>
          <w:tab w:val="left" w:pos="426"/>
        </w:tabs>
        <w:ind w:left="0"/>
        <w:jc w:val="right"/>
        <w:rPr>
          <w:rFonts w:asciiTheme="minorHAnsi" w:hAnsiTheme="minorHAnsi" w:cs="Arial"/>
          <w:i/>
          <w:sz w:val="14"/>
          <w:szCs w:val="22"/>
        </w:rPr>
      </w:pPr>
    </w:p>
    <w:p w14:paraId="54F40E7D" w14:textId="77777777" w:rsidR="0072763A" w:rsidRDefault="00962926" w:rsidP="00962926">
      <w:pPr>
        <w:pStyle w:val="Ttulo4"/>
      </w:pPr>
      <w:r w:rsidRPr="00962926">
        <w:lastRenderedPageBreak/>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2FDD9DBD"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sidRPr="00566889">
        <w:rPr>
          <w:rFonts w:ascii="Arial" w:hAnsi="Arial" w:cs="Arial"/>
          <w:b/>
          <w:sz w:val="22"/>
          <w:szCs w:val="22"/>
        </w:rPr>
        <w:t xml:space="preserve">.- </w:t>
      </w:r>
      <w:r w:rsidR="00566889" w:rsidRPr="00566889">
        <w:rPr>
          <w:rFonts w:ascii="Arial" w:hAnsi="Arial" w:cs="Arial"/>
          <w:sz w:val="22"/>
          <w:szCs w:val="22"/>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50BF2C67" w14:textId="673FF6A8" w:rsidR="00572264" w:rsidRDefault="00572264" w:rsidP="00572264">
      <w:pPr>
        <w:tabs>
          <w:tab w:val="left" w:pos="426"/>
        </w:tabs>
        <w:contextualSpacing/>
        <w:jc w:val="both"/>
        <w:rPr>
          <w:rFonts w:ascii="Arial" w:hAnsi="Arial" w:cs="Arial"/>
          <w:sz w:val="22"/>
          <w:szCs w:val="22"/>
          <w:lang w:eastAsia="es-MX"/>
        </w:rPr>
      </w:pPr>
      <w:bookmarkStart w:id="11" w:name="_Hlk108524868"/>
      <w:r w:rsidRPr="00572264">
        <w:rPr>
          <w:rFonts w:ascii="Arial" w:hAnsi="Arial" w:cs="Arial"/>
          <w:sz w:val="22"/>
          <w:szCs w:val="22"/>
          <w:lang w:eastAsia="es-MX"/>
        </w:rPr>
        <w:t xml:space="preserve">Las magistradas y 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42D41D0A" w14:textId="77777777" w:rsidR="00D67869" w:rsidRPr="00E86640" w:rsidRDefault="00D67869" w:rsidP="00D67869">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1"/>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lastRenderedPageBreak/>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Las magistradas y 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lastRenderedPageBreak/>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121.-</w:t>
      </w:r>
      <w:r>
        <w:rPr>
          <w:rFonts w:ascii="Arial" w:hAnsi="Arial" w:cs="Arial"/>
          <w:b/>
          <w:sz w:val="22"/>
          <w:szCs w:val="22"/>
        </w:rPr>
        <w:t xml:space="preserve"> </w:t>
      </w:r>
      <w:r w:rsidR="00CF5EB5" w:rsidRPr="00CF5EB5">
        <w:rPr>
          <w:rFonts w:ascii="Arial" w:hAnsi="Arial" w:cs="Arial"/>
          <w:sz w:val="22"/>
          <w:szCs w:val="22"/>
        </w:rPr>
        <w:t xml:space="preserve">Las y los jueces serán nombrados por el Consejo de la Judicatura, previo examen por oposición; dichos nombramientos recaerán en aquellas personas que hayan prestado sus servicios </w:t>
      </w:r>
      <w:r w:rsidR="00CF5EB5" w:rsidRPr="00CF5EB5">
        <w:rPr>
          <w:rFonts w:ascii="Arial" w:hAnsi="Arial" w:cs="Arial"/>
          <w:sz w:val="22"/>
          <w:szCs w:val="22"/>
        </w:rPr>
        <w:lastRenderedPageBreak/>
        <w:t>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6157C3FF" w:rsidR="0072763A" w:rsidRPr="002D04BA" w:rsidRDefault="00CF5EB5" w:rsidP="0087385B">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La Presidenta o el Presidente del Tribunal Superior de Justicia, quien lo presidirá</w:t>
      </w:r>
      <w:r w:rsidR="0072763A" w:rsidRPr="002D04BA">
        <w:rPr>
          <w:rFonts w:ascii="Arial" w:hAnsi="Arial" w:cs="Arial"/>
          <w:sz w:val="22"/>
          <w:szCs w:val="22"/>
        </w:rPr>
        <w:t>.</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Las consejeras y 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2A1A53F8" w14:textId="77777777" w:rsidR="0072763A" w:rsidRPr="002D04BA" w:rsidRDefault="0072763A" w:rsidP="0087385B">
      <w:pPr>
        <w:jc w:val="both"/>
        <w:rPr>
          <w:rFonts w:ascii="Arial" w:hAnsi="Arial" w:cs="Arial"/>
          <w:sz w:val="22"/>
          <w:szCs w:val="22"/>
        </w:rPr>
      </w:pPr>
    </w:p>
    <w:p w14:paraId="4F141D98" w14:textId="307A1DD8" w:rsidR="0072763A" w:rsidRPr="002D04BA" w:rsidRDefault="00F6067E" w:rsidP="0087385B">
      <w:pPr>
        <w:jc w:val="both"/>
        <w:rPr>
          <w:rFonts w:ascii="Arial" w:hAnsi="Arial" w:cs="Arial"/>
          <w:b/>
          <w:sz w:val="22"/>
          <w:szCs w:val="22"/>
        </w:rPr>
      </w:pPr>
      <w:r w:rsidRPr="00F6067E">
        <w:rPr>
          <w:rFonts w:ascii="Arial" w:hAnsi="Arial" w:cs="Arial"/>
          <w:b/>
          <w:sz w:val="22"/>
          <w:szCs w:val="22"/>
        </w:rPr>
        <w:lastRenderedPageBreak/>
        <w:t>ARTÍCULO 131.-</w:t>
      </w:r>
      <w:r>
        <w:rPr>
          <w:rFonts w:ascii="Arial" w:hAnsi="Arial" w:cs="Arial"/>
          <w:b/>
          <w:sz w:val="22"/>
          <w:szCs w:val="22"/>
        </w:rPr>
        <w:t xml:space="preserve"> </w:t>
      </w:r>
      <w:r w:rsidR="0018151E" w:rsidRPr="0018151E">
        <w:rPr>
          <w:rFonts w:ascii="Arial" w:hAnsi="Arial" w:cs="Arial"/>
          <w:sz w:val="22"/>
          <w:szCs w:val="22"/>
        </w:rPr>
        <w:t>Las y los titulares y los integrantes de sus consejos, comisiones u órganos directivos, consultivos o de gobierno serán designados, en forma escalonada, conforme a las reglas y procedimientos señalados por la ley, mediante el voto de las dos terceras partes de los miembros del Congreso</w:t>
      </w:r>
      <w:r w:rsidR="0018151E" w:rsidRPr="0018151E">
        <w:rPr>
          <w:rFonts w:ascii="Arial" w:hAnsi="Arial" w:cs="Arial"/>
          <w:iCs/>
          <w:sz w:val="22"/>
          <w:szCs w:val="22"/>
        </w:rPr>
        <w:t xml:space="preserve"> del Estado</w:t>
      </w:r>
      <w:r w:rsidR="0018151E" w:rsidRPr="0018151E">
        <w:rPr>
          <w:rFonts w:ascii="Arial" w:hAnsi="Arial" w:cs="Arial"/>
          <w:sz w:val="22"/>
          <w:szCs w:val="22"/>
        </w:rPr>
        <w:t xml:space="preserve"> presentes, atendiendo a la paridad de género. Para tal efecto, se deberá realizar un procedimiento de convocatoria pública amplia y transparente, en los términos de la ley.</w:t>
      </w:r>
    </w:p>
    <w:p w14:paraId="44ABC051"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lastRenderedPageBreak/>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w:t>
      </w:r>
      <w:r w:rsidR="0072763A" w:rsidRPr="002D04BA">
        <w:rPr>
          <w:rFonts w:ascii="Arial" w:hAnsi="Arial" w:cs="Arial"/>
          <w:sz w:val="22"/>
          <w:szCs w:val="22"/>
        </w:rPr>
        <w:lastRenderedPageBreak/>
        <w:t>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lastRenderedPageBreak/>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4657D813"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18151E" w:rsidRPr="0018151E">
        <w:rPr>
          <w:rFonts w:ascii="Arial" w:hAnsi="Arial" w:cs="Arial"/>
          <w:sz w:val="22"/>
          <w:szCs w:val="22"/>
        </w:rPr>
        <w:t>Cada Municipio será gobernado por un Ayuntamiento de elección popular directa, integrado por una Presidenta o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09BF4EBE" w:rsidR="0072763A" w:rsidRPr="002D04B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t>En el caso de ser Secretaria,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cargo noventa días antes de la elección</w:t>
      </w:r>
      <w:r w:rsidR="0072763A" w:rsidRPr="002D04BA">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03034406" w14:textId="77777777" w:rsidR="00850390" w:rsidRPr="00850390" w:rsidRDefault="00850390" w:rsidP="00850390">
      <w:pPr>
        <w:pStyle w:val="Prrafodelista"/>
        <w:ind w:left="680"/>
        <w:jc w:val="right"/>
        <w:rPr>
          <w:rFonts w:asciiTheme="minorHAnsi" w:hAnsiTheme="minorHAnsi" w:cstheme="minorHAnsi"/>
          <w:sz w:val="16"/>
          <w:szCs w:val="16"/>
          <w:lang w:val="es-MX"/>
        </w:rPr>
      </w:pPr>
      <w:r w:rsidRPr="00850390">
        <w:rPr>
          <w:rFonts w:asciiTheme="minorHAnsi" w:hAnsiTheme="minorHAnsi" w:cstheme="minorHAnsi"/>
          <w:color w:val="0070C0"/>
          <w:sz w:val="16"/>
          <w:szCs w:val="16"/>
          <w:lang w:val="es-MX"/>
        </w:rPr>
        <w:t>REFORMADO POR DEC. 585 P.O. 11 EXT. DEL 24 DE MAYO DE 2022</w:t>
      </w:r>
      <w:r w:rsidRPr="00850390">
        <w:rPr>
          <w:rFonts w:asciiTheme="minorHAnsi" w:hAnsiTheme="minorHAnsi" w:cstheme="minorHAnsi"/>
          <w:sz w:val="16"/>
          <w:szCs w:val="16"/>
          <w:lang w:val="es-MX"/>
        </w:rPr>
        <w:t>.</w:t>
      </w:r>
    </w:p>
    <w:p w14:paraId="62A3E047" w14:textId="77777777" w:rsidR="0072763A" w:rsidRPr="002D04BA" w:rsidRDefault="0072763A" w:rsidP="0087385B">
      <w:pPr>
        <w:jc w:val="both"/>
        <w:rPr>
          <w:rFonts w:ascii="Arial" w:hAnsi="Arial" w:cs="Arial"/>
          <w:sz w:val="22"/>
          <w:szCs w:val="22"/>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La Presidenta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lastRenderedPageBreak/>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lastRenderedPageBreak/>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La Presidenta o Presidente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77777777" w:rsidR="00383DF9" w:rsidRP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383DF9" w:rsidRPr="00383DF9">
        <w:rPr>
          <w:rFonts w:ascii="Arial" w:hAnsi="Arial" w:cs="Arial"/>
          <w:color w:val="000000"/>
          <w:sz w:val="22"/>
          <w:szCs w:val="22"/>
        </w:rPr>
        <w:t>El día 1 de septiembre de cada año, la persona Titular del Poder Ejecutivo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3A6E14CF" w:rsidR="0072763A"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C212669" w14:textId="3AF7A228" w:rsidR="00383DF9" w:rsidRPr="00895B42" w:rsidRDefault="00383DF9" w:rsidP="00895B42">
      <w:pPr>
        <w:jc w:val="right"/>
        <w:rPr>
          <w:rFonts w:ascii="Arial" w:hAnsi="Arial" w:cs="Arial"/>
          <w:color w:val="000000"/>
        </w:rPr>
      </w:pPr>
      <w:r w:rsidRPr="0056217D">
        <w:rPr>
          <w:rFonts w:asciiTheme="minorHAnsi" w:hAnsiTheme="minorHAnsi" w:cstheme="minorHAnsi"/>
          <w:color w:val="0070C0"/>
          <w:sz w:val="16"/>
          <w:szCs w:val="16"/>
          <w:lang w:val="es-MX"/>
        </w:rPr>
        <w:t>PÁRRAFO REFORMADO POR DEC. 585 P.O. 11 EXT. DEL 24 DE MAYO DE 2022</w:t>
      </w:r>
      <w:r>
        <w:rPr>
          <w:rFonts w:asciiTheme="minorHAnsi" w:hAnsiTheme="minorHAnsi" w:cstheme="minorHAnsi"/>
          <w:color w:val="0070C0"/>
          <w:sz w:val="16"/>
          <w:szCs w:val="16"/>
          <w:lang w:val="es-MX"/>
        </w:rPr>
        <w:t>.</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Las y los diputados deben rendir un informe anual del ejercicio de sus funciones ante el órgano de gobierno interior del Congreso del Estado, y si así lo estiman pertinente, ante sus representados. Las 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2" w:name="_Hlk108528668"/>
      <w:r w:rsidRPr="0056217D">
        <w:rPr>
          <w:rFonts w:asciiTheme="minorHAnsi" w:hAnsiTheme="minorHAnsi" w:cstheme="minorHAnsi"/>
          <w:color w:val="0070C0"/>
          <w:sz w:val="16"/>
          <w:szCs w:val="16"/>
          <w:lang w:val="es-MX"/>
        </w:rPr>
        <w:t>PÁRRAFO REFORMADO POR DEC. 585 P.O. 11 EXT. DEL 24 DE MAYO DE 2022</w:t>
      </w:r>
      <w:bookmarkEnd w:id="12"/>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lastRenderedPageBreak/>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w:t>
      </w:r>
      <w:r w:rsidR="00907146" w:rsidRPr="00907146">
        <w:rPr>
          <w:rFonts w:ascii="Arial" w:hAnsi="Arial" w:cs="Arial"/>
          <w:sz w:val="22"/>
          <w:szCs w:val="22"/>
          <w:lang w:eastAsia="es-MX"/>
        </w:rPr>
        <w:lastRenderedPageBreak/>
        <w:t xml:space="preserve">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 xml:space="preserve">La Gobernadora o Gobernador del Estado, las y los secretarios de despacho y las y los subsecretarios, los recaudadores de rentas, la persona titular de la Fiscalía General del Estado y los vicefiscales, las diputadas, los diputados, las magistradas, los magistrados, las consejeras, los </w:t>
      </w:r>
      <w:r w:rsidR="00EA5D41" w:rsidRPr="00EA5D41">
        <w:rPr>
          <w:rFonts w:ascii="Arial" w:eastAsia="Calibri" w:hAnsi="Arial" w:cs="Arial"/>
          <w:sz w:val="22"/>
          <w:szCs w:val="22"/>
          <w:lang w:val="es-ES"/>
        </w:rPr>
        <w:lastRenderedPageBreak/>
        <w:t>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w:t>
      </w:r>
      <w:r w:rsidRPr="002E2EDC">
        <w:rPr>
          <w:rFonts w:ascii="Arial" w:hAnsi="Arial" w:cs="Arial"/>
          <w:sz w:val="22"/>
          <w:szCs w:val="22"/>
          <w:shd w:val="clear" w:color="auto" w:fill="FFFFFF"/>
          <w:lang w:val="es-MX" w:eastAsia="es-MX"/>
        </w:rPr>
        <w:lastRenderedPageBreak/>
        <w:t xml:space="preserve">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t>ARTÍCULO 176.-</w:t>
      </w:r>
      <w:r>
        <w:rPr>
          <w:rFonts w:ascii="Arial" w:hAnsi="Arial" w:cs="Arial"/>
          <w:b/>
          <w:sz w:val="22"/>
          <w:szCs w:val="22"/>
        </w:rPr>
        <w:t xml:space="preserve"> </w:t>
      </w:r>
      <w:r w:rsidR="00EA5D41" w:rsidRPr="00EA5D41">
        <w:rPr>
          <w:rFonts w:ascii="Arial" w:hAnsi="Arial" w:cs="Arial"/>
          <w:bCs/>
          <w:sz w:val="22"/>
          <w:szCs w:val="22"/>
        </w:rPr>
        <w:t>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13009DD4" w:rsidR="00EA5D41" w:rsidRPr="00D53B3F" w:rsidRDefault="00EA5D41" w:rsidP="00EA5D41">
      <w:pPr>
        <w:tabs>
          <w:tab w:val="left" w:pos="709"/>
          <w:tab w:val="left" w:pos="907"/>
        </w:tabs>
        <w:jc w:val="right"/>
        <w:rPr>
          <w:rFonts w:ascii="Arial" w:hAnsi="Arial" w:cs="Arial"/>
          <w:bCs/>
        </w:rPr>
      </w:pPr>
      <w:r w:rsidRPr="0056217D">
        <w:rPr>
          <w:rFonts w:asciiTheme="minorHAnsi" w:hAnsiTheme="minorHAnsi" w:cstheme="minorHAnsi"/>
          <w:color w:val="0070C0"/>
          <w:sz w:val="16"/>
          <w:szCs w:val="16"/>
          <w:lang w:val="es-MX"/>
        </w:rPr>
        <w:t>PÁRRAFO REFORMADO POR DEC. 585 P.O. 11 EXT. DEL 24 DE MAYO DE 2022</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w:t>
      </w:r>
      <w:r w:rsidRPr="002D04BA">
        <w:rPr>
          <w:rFonts w:ascii="Arial" w:hAnsi="Arial" w:cs="Arial"/>
          <w:bCs/>
          <w:sz w:val="22"/>
          <w:szCs w:val="22"/>
        </w:rPr>
        <w:lastRenderedPageBreak/>
        <w:t>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13" w:name="_Hlk80274096"/>
      <w:r>
        <w:rPr>
          <w:rFonts w:asciiTheme="minorHAnsi" w:hAnsiTheme="minorHAnsi" w:cstheme="minorHAnsi"/>
          <w:bCs/>
          <w:color w:val="0070C0"/>
          <w:sz w:val="16"/>
          <w:szCs w:val="16"/>
        </w:rPr>
        <w:t>REFORMADO POR DEC. 482, P.O. 56 DEL 15 DE JULIO DE 2021.</w:t>
      </w:r>
      <w:bookmarkEnd w:id="13"/>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56217D" w:rsidRDefault="00EA5D41" w:rsidP="00EA5D41">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lastRenderedPageBreak/>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lastRenderedPageBreak/>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lastRenderedPageBreak/>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xml:space="preserve">, así como </w:t>
      </w:r>
      <w:r w:rsidRPr="00CC71FF">
        <w:rPr>
          <w:rFonts w:ascii="Arial" w:hAnsi="Arial" w:cs="Arial"/>
          <w:szCs w:val="22"/>
        </w:rPr>
        <w:lastRenderedPageBreak/>
        <w:t>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lastRenderedPageBreak/>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lastRenderedPageBreak/>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lastRenderedPageBreak/>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lastRenderedPageBreak/>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lastRenderedPageBreak/>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a los (16) dieciséis días del mes de Febrero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lastRenderedPageBreak/>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r w:rsidRPr="00605FB4">
        <w:rPr>
          <w:rFonts w:ascii="Arial" w:hAnsi="Arial" w:cs="Arial"/>
          <w:b/>
          <w:lang w:val="es-ES"/>
        </w:rPr>
        <w:lastRenderedPageBreak/>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lastRenderedPageBreak/>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lastRenderedPageBreak/>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ÚNICO.-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ARTÍCULO PRIMERO</w:t>
      </w:r>
      <w:r w:rsidRPr="003259A8">
        <w:rPr>
          <w:rFonts w:ascii="Arial" w:hAnsi="Arial" w:cs="Arial"/>
          <w:lang w:val="es-ES"/>
        </w:rPr>
        <w:t>.-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ARTICULO SEGUNDO.-</w:t>
      </w:r>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TERCERO.-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PRIMERO</w:t>
      </w:r>
      <w:r w:rsidR="00C35DEF" w:rsidRPr="00456F0C">
        <w:rPr>
          <w:rFonts w:ascii="Arial" w:hAnsi="Arial" w:cs="Arial"/>
          <w:lang w:val="es-ES"/>
        </w:rPr>
        <w:t>.-</w:t>
      </w:r>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r w:rsidR="00C35DEF" w:rsidRPr="00456F0C">
        <w:rPr>
          <w:rFonts w:ascii="Arial" w:hAnsi="Arial" w:cs="Arial"/>
          <w:b/>
          <w:lang w:val="es-ES"/>
        </w:rPr>
        <w:t>SEGUNDO.-</w:t>
      </w:r>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lastRenderedPageBreak/>
        <w:t xml:space="preserve">ARTÍCULO </w:t>
      </w:r>
      <w:r w:rsidR="00C35DEF" w:rsidRPr="00456F0C">
        <w:rPr>
          <w:rFonts w:ascii="Arial" w:hAnsi="Arial" w:cs="Arial"/>
          <w:b/>
          <w:lang w:val="es-ES"/>
        </w:rPr>
        <w:t>TERCERO.-</w:t>
      </w:r>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ARTÍCULO PRIMERO</w:t>
      </w:r>
      <w:r w:rsidRPr="00814A8C">
        <w:rPr>
          <w:rFonts w:ascii="Arial" w:hAnsi="Arial" w:cs="Arial"/>
          <w:lang w:val="es-ES"/>
        </w:rPr>
        <w:t>.-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ARTÍCULO SEGUNDO.-</w:t>
      </w:r>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ARTÍCULO PRIMERO</w:t>
      </w:r>
      <w:r w:rsidRPr="00DF4E14">
        <w:rPr>
          <w:rFonts w:ascii="Arial" w:hAnsi="Arial" w:cs="Arial"/>
          <w:lang w:val="es-ES"/>
        </w:rPr>
        <w:t>.-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lastRenderedPageBreak/>
        <w:t>ARTICULO SEGUNDO</w:t>
      </w:r>
      <w:r w:rsidRPr="00DF4E14">
        <w:rPr>
          <w:rFonts w:ascii="Arial" w:eastAsia="Calibri" w:hAnsi="Arial" w:cs="Arial"/>
          <w:color w:val="000000"/>
          <w:lang w:val="es-MX" w:eastAsia="es-MX"/>
        </w:rPr>
        <w:t>.-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lastRenderedPageBreak/>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lastRenderedPageBreak/>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lastRenderedPageBreak/>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2D570CDC" w14:textId="77777777" w:rsidR="00C0197F" w:rsidRDefault="00C0197F" w:rsidP="005B1C7B">
      <w:pPr>
        <w:contextualSpacing/>
        <w:jc w:val="center"/>
        <w:rPr>
          <w:rFonts w:ascii="Arial" w:hAnsi="Arial" w:cs="Arial"/>
          <w:b/>
          <w:sz w:val="22"/>
          <w:szCs w:val="22"/>
          <w:lang w:val="es-MX"/>
        </w:rPr>
      </w:pPr>
    </w:p>
    <w:p w14:paraId="1973BEBB" w14:textId="77777777" w:rsidR="00C0197F" w:rsidRDefault="00C0197F" w:rsidP="005B1C7B">
      <w:pPr>
        <w:contextualSpacing/>
        <w:jc w:val="center"/>
        <w:rPr>
          <w:rFonts w:ascii="Arial" w:hAnsi="Arial" w:cs="Arial"/>
          <w:b/>
          <w:sz w:val="22"/>
          <w:szCs w:val="22"/>
          <w:lang w:val="es-MX"/>
        </w:rPr>
      </w:pPr>
    </w:p>
    <w:p w14:paraId="359AEFC8" w14:textId="77777777" w:rsidR="00C0197F" w:rsidRDefault="00C0197F" w:rsidP="005B1C7B">
      <w:pPr>
        <w:contextualSpacing/>
        <w:jc w:val="center"/>
        <w:rPr>
          <w:rFonts w:ascii="Arial" w:hAnsi="Arial" w:cs="Arial"/>
          <w:b/>
          <w:sz w:val="22"/>
          <w:szCs w:val="22"/>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lastRenderedPageBreak/>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ARTICULO SEGUNDO.-</w:t>
      </w:r>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TERCERO.-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lastRenderedPageBreak/>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77777777" w:rsidR="007E738F" w:rsidRDefault="007E738F" w:rsidP="00C8686B">
      <w:pPr>
        <w:jc w:val="both"/>
        <w:rPr>
          <w:rFonts w:ascii="Arial" w:hAnsi="Arial" w:cs="Arial"/>
        </w:rPr>
      </w:pPr>
    </w:p>
    <w:p w14:paraId="019EE0FC" w14:textId="77777777" w:rsidR="00C8686B" w:rsidRDefault="00C8686B" w:rsidP="00C8686B">
      <w:pPr>
        <w:jc w:val="both"/>
        <w:rPr>
          <w:rFonts w:ascii="Arial" w:hAnsi="Arial" w:cs="Arial"/>
        </w:rPr>
      </w:pPr>
    </w:p>
    <w:p w14:paraId="4827FCC0" w14:textId="77777777" w:rsidR="00C0197F" w:rsidRPr="007D66C5" w:rsidRDefault="00C0197F" w:rsidP="005B1C7B">
      <w:pPr>
        <w:jc w:val="both"/>
        <w:rPr>
          <w:rFonts w:ascii="Arial" w:hAnsi="Arial" w:cs="Arial"/>
          <w:lang w:val="es-ES"/>
        </w:rPr>
      </w:pPr>
    </w:p>
    <w:sectPr w:rsidR="00C0197F" w:rsidRPr="007D66C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BD9D8" w14:textId="77777777" w:rsidR="003952A2" w:rsidRDefault="003952A2" w:rsidP="00FA3700">
      <w:r>
        <w:separator/>
      </w:r>
    </w:p>
  </w:endnote>
  <w:endnote w:type="continuationSeparator" w:id="0">
    <w:p w14:paraId="35AA3E15" w14:textId="77777777" w:rsidR="003952A2" w:rsidRDefault="003952A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6FC1BD4C" w14:textId="77777777" w:rsidR="0028109F" w:rsidRDefault="0028109F">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28109F" w:rsidRDefault="002810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2A36" w14:textId="77777777" w:rsidR="003952A2" w:rsidRDefault="003952A2" w:rsidP="00FA3700">
      <w:r>
        <w:separator/>
      </w:r>
    </w:p>
  </w:footnote>
  <w:footnote w:type="continuationSeparator" w:id="0">
    <w:p w14:paraId="19BE0CB0" w14:textId="77777777" w:rsidR="003952A2" w:rsidRDefault="003952A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28109F" w14:paraId="6382D7B2" w14:textId="77777777" w:rsidTr="00907146">
      <w:tc>
        <w:tcPr>
          <w:tcW w:w="3828" w:type="dxa"/>
          <w:tcBorders>
            <w:top w:val="nil"/>
            <w:left w:val="nil"/>
            <w:bottom w:val="nil"/>
            <w:right w:val="nil"/>
          </w:tcBorders>
        </w:tcPr>
        <w:p w14:paraId="23E3E6AC" w14:textId="77777777" w:rsidR="0028109F" w:rsidRDefault="0028109F"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28109F" w:rsidRDefault="0028109F" w:rsidP="00B37313">
          <w:pPr>
            <w:pStyle w:val="Encabezado"/>
          </w:pPr>
        </w:p>
        <w:p w14:paraId="380A2C97" w14:textId="77777777" w:rsidR="0028109F" w:rsidRPr="00047254" w:rsidRDefault="0028109F"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28109F" w:rsidRPr="00047254" w:rsidRDefault="0028109F" w:rsidP="00B37313">
          <w:pPr>
            <w:pStyle w:val="Encabezado"/>
            <w:rPr>
              <w:rFonts w:ascii="Arial" w:hAnsi="Arial" w:cs="Arial"/>
              <w:b/>
              <w:sz w:val="16"/>
              <w:szCs w:val="16"/>
            </w:rPr>
          </w:pPr>
        </w:p>
        <w:p w14:paraId="1096E83D" w14:textId="77777777" w:rsidR="0028109F" w:rsidRDefault="0028109F" w:rsidP="00B37313">
          <w:pPr>
            <w:pStyle w:val="Encabezado"/>
            <w:rPr>
              <w:rFonts w:ascii="Copperplate Gothic Bold" w:hAnsi="Copperplate Gothic Bold"/>
            </w:rPr>
          </w:pPr>
        </w:p>
        <w:p w14:paraId="08581AD8" w14:textId="77777777" w:rsidR="0028109F" w:rsidRDefault="0028109F" w:rsidP="00B37313">
          <w:pPr>
            <w:pStyle w:val="Encabezado"/>
            <w:rPr>
              <w:rFonts w:ascii="Copperplate Gothic Bold" w:hAnsi="Copperplate Gothic Bold"/>
            </w:rPr>
          </w:pPr>
        </w:p>
        <w:p w14:paraId="370A8A2A" w14:textId="77777777" w:rsidR="0028109F" w:rsidRPr="00B37313" w:rsidRDefault="0028109F" w:rsidP="00B37313">
          <w:pPr>
            <w:pStyle w:val="Encabezado"/>
            <w:rPr>
              <w:rFonts w:ascii="Copperplate Gothic Bold" w:hAnsi="Copperplate Gothic Bold"/>
            </w:rPr>
          </w:pPr>
        </w:p>
        <w:p w14:paraId="2A6341DA" w14:textId="77777777" w:rsidR="0028109F" w:rsidRPr="00B37313" w:rsidRDefault="0028109F" w:rsidP="00F05108">
          <w:pPr>
            <w:pStyle w:val="Encabezado"/>
            <w:ind w:firstLine="708"/>
            <w:rPr>
              <w:rFonts w:asciiTheme="majorHAnsi" w:hAnsiTheme="majorHAnsi"/>
              <w:sz w:val="18"/>
              <w:szCs w:val="18"/>
            </w:rPr>
          </w:pPr>
        </w:p>
        <w:p w14:paraId="3CE224CF" w14:textId="77777777" w:rsidR="0028109F" w:rsidRPr="00907146" w:rsidRDefault="0028109F"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396FF93B" w:rsidR="0028109F" w:rsidRPr="00DE2DDE" w:rsidRDefault="0028109F" w:rsidP="00DE2DDE">
          <w:pPr>
            <w:pStyle w:val="Ttulo2"/>
            <w:outlineLvl w:val="1"/>
          </w:pPr>
          <w:r>
            <w:t>DEC. 585 P.O 11 EXT. 24 DE MAYO</w:t>
          </w:r>
          <w:r w:rsidRPr="00DE2DDE">
            <w:t xml:space="preserve"> DE 20</w:t>
          </w:r>
          <w:r>
            <w:t>22</w:t>
          </w:r>
          <w:r w:rsidRPr="00DE2DDE">
            <w:t>.</w:t>
          </w:r>
        </w:p>
        <w:p w14:paraId="186638E6" w14:textId="77777777" w:rsidR="0028109F" w:rsidRPr="00964BFE" w:rsidRDefault="0028109F" w:rsidP="00DE2DDE">
          <w:pPr>
            <w:pStyle w:val="Ttulo2"/>
            <w:outlineLvl w:val="1"/>
          </w:pPr>
          <w:r w:rsidRPr="00964BFE">
            <w:t xml:space="preserve"> </w:t>
          </w:r>
        </w:p>
        <w:p w14:paraId="24A18548" w14:textId="77777777" w:rsidR="0028109F" w:rsidRPr="0087385B" w:rsidRDefault="0028109F" w:rsidP="0087385B">
          <w:pPr>
            <w:pStyle w:val="Encabezado"/>
            <w:jc w:val="right"/>
            <w:rPr>
              <w:rFonts w:asciiTheme="majorHAnsi" w:hAnsiTheme="majorHAnsi"/>
              <w:sz w:val="16"/>
              <w:szCs w:val="16"/>
            </w:rPr>
          </w:pPr>
        </w:p>
      </w:tc>
    </w:tr>
  </w:tbl>
  <w:p w14:paraId="2D99BEE0" w14:textId="77777777" w:rsidR="0028109F" w:rsidRPr="00B37313" w:rsidRDefault="0028109F"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6526"/>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1046A4"/>
    <w:rsid w:val="001100AB"/>
    <w:rsid w:val="001102BA"/>
    <w:rsid w:val="001109C6"/>
    <w:rsid w:val="00111E38"/>
    <w:rsid w:val="00121AC8"/>
    <w:rsid w:val="001228CC"/>
    <w:rsid w:val="00124CD4"/>
    <w:rsid w:val="00130E59"/>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D7949"/>
    <w:rsid w:val="001E1E56"/>
    <w:rsid w:val="001E25EB"/>
    <w:rsid w:val="001E5973"/>
    <w:rsid w:val="001E59B6"/>
    <w:rsid w:val="001F2820"/>
    <w:rsid w:val="001F405D"/>
    <w:rsid w:val="00200FD3"/>
    <w:rsid w:val="0020287C"/>
    <w:rsid w:val="002037A7"/>
    <w:rsid w:val="00204010"/>
    <w:rsid w:val="00204527"/>
    <w:rsid w:val="00205A67"/>
    <w:rsid w:val="0020787B"/>
    <w:rsid w:val="00207906"/>
    <w:rsid w:val="00210D58"/>
    <w:rsid w:val="002114DB"/>
    <w:rsid w:val="00213429"/>
    <w:rsid w:val="002264E0"/>
    <w:rsid w:val="00226738"/>
    <w:rsid w:val="00233E12"/>
    <w:rsid w:val="00236966"/>
    <w:rsid w:val="00243737"/>
    <w:rsid w:val="0025026F"/>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46F8F"/>
    <w:rsid w:val="0035082F"/>
    <w:rsid w:val="00365C3A"/>
    <w:rsid w:val="003661FF"/>
    <w:rsid w:val="00373F8E"/>
    <w:rsid w:val="0037647D"/>
    <w:rsid w:val="003807A1"/>
    <w:rsid w:val="00381F49"/>
    <w:rsid w:val="00382A0F"/>
    <w:rsid w:val="00383DF9"/>
    <w:rsid w:val="00391970"/>
    <w:rsid w:val="003952A2"/>
    <w:rsid w:val="003A005F"/>
    <w:rsid w:val="003A136D"/>
    <w:rsid w:val="003A1F50"/>
    <w:rsid w:val="003B17B1"/>
    <w:rsid w:val="003B3FDB"/>
    <w:rsid w:val="003C07C1"/>
    <w:rsid w:val="003C2373"/>
    <w:rsid w:val="003C4AD1"/>
    <w:rsid w:val="003D4C9D"/>
    <w:rsid w:val="003E08D3"/>
    <w:rsid w:val="003E1C11"/>
    <w:rsid w:val="003F7293"/>
    <w:rsid w:val="00400A6C"/>
    <w:rsid w:val="004030F6"/>
    <w:rsid w:val="00421F75"/>
    <w:rsid w:val="00423342"/>
    <w:rsid w:val="00423BB2"/>
    <w:rsid w:val="004268C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240"/>
    <w:rsid w:val="004A1B3A"/>
    <w:rsid w:val="004A2C5D"/>
    <w:rsid w:val="004B68F9"/>
    <w:rsid w:val="004C43EB"/>
    <w:rsid w:val="004C54DE"/>
    <w:rsid w:val="004D0637"/>
    <w:rsid w:val="004D12E1"/>
    <w:rsid w:val="004D2DBB"/>
    <w:rsid w:val="004D428F"/>
    <w:rsid w:val="004E3C79"/>
    <w:rsid w:val="004E76F1"/>
    <w:rsid w:val="004E7C8A"/>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A2F"/>
    <w:rsid w:val="005F200C"/>
    <w:rsid w:val="005F4984"/>
    <w:rsid w:val="005F4B5D"/>
    <w:rsid w:val="00605FB4"/>
    <w:rsid w:val="006066A3"/>
    <w:rsid w:val="0061004A"/>
    <w:rsid w:val="00615B33"/>
    <w:rsid w:val="00625148"/>
    <w:rsid w:val="00626343"/>
    <w:rsid w:val="006336F7"/>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427E"/>
    <w:rsid w:val="0072763A"/>
    <w:rsid w:val="007336DC"/>
    <w:rsid w:val="007352FE"/>
    <w:rsid w:val="00745F0B"/>
    <w:rsid w:val="007522B5"/>
    <w:rsid w:val="00757545"/>
    <w:rsid w:val="00774040"/>
    <w:rsid w:val="00774B2E"/>
    <w:rsid w:val="00776C67"/>
    <w:rsid w:val="0078104F"/>
    <w:rsid w:val="00781B18"/>
    <w:rsid w:val="00795BCB"/>
    <w:rsid w:val="00795C06"/>
    <w:rsid w:val="007A1F5A"/>
    <w:rsid w:val="007A2F31"/>
    <w:rsid w:val="007B381D"/>
    <w:rsid w:val="007C24ED"/>
    <w:rsid w:val="007C638C"/>
    <w:rsid w:val="007D5856"/>
    <w:rsid w:val="007D5E84"/>
    <w:rsid w:val="007D66C5"/>
    <w:rsid w:val="007E506A"/>
    <w:rsid w:val="007E738F"/>
    <w:rsid w:val="0080025E"/>
    <w:rsid w:val="00801E17"/>
    <w:rsid w:val="00803A46"/>
    <w:rsid w:val="00803B5C"/>
    <w:rsid w:val="00810CFF"/>
    <w:rsid w:val="00812959"/>
    <w:rsid w:val="00814A8C"/>
    <w:rsid w:val="00816ABA"/>
    <w:rsid w:val="00817AC4"/>
    <w:rsid w:val="008235EC"/>
    <w:rsid w:val="00824F3A"/>
    <w:rsid w:val="00825751"/>
    <w:rsid w:val="00834BAE"/>
    <w:rsid w:val="0083523B"/>
    <w:rsid w:val="00843055"/>
    <w:rsid w:val="00850390"/>
    <w:rsid w:val="00852D23"/>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8F7AC6"/>
    <w:rsid w:val="009068E4"/>
    <w:rsid w:val="00907146"/>
    <w:rsid w:val="00907A3E"/>
    <w:rsid w:val="00914AE1"/>
    <w:rsid w:val="00915416"/>
    <w:rsid w:val="00921265"/>
    <w:rsid w:val="00925F89"/>
    <w:rsid w:val="009317DB"/>
    <w:rsid w:val="009338B8"/>
    <w:rsid w:val="00936102"/>
    <w:rsid w:val="00953B16"/>
    <w:rsid w:val="0095628A"/>
    <w:rsid w:val="00956647"/>
    <w:rsid w:val="00962926"/>
    <w:rsid w:val="00964BFE"/>
    <w:rsid w:val="00972F75"/>
    <w:rsid w:val="00975756"/>
    <w:rsid w:val="00977981"/>
    <w:rsid w:val="009808DC"/>
    <w:rsid w:val="00980AAF"/>
    <w:rsid w:val="00992289"/>
    <w:rsid w:val="009948E5"/>
    <w:rsid w:val="009B084E"/>
    <w:rsid w:val="009B08C8"/>
    <w:rsid w:val="009B0E85"/>
    <w:rsid w:val="009C14DC"/>
    <w:rsid w:val="009C23F1"/>
    <w:rsid w:val="009C6EEA"/>
    <w:rsid w:val="009D199A"/>
    <w:rsid w:val="009E1AAB"/>
    <w:rsid w:val="009E20F7"/>
    <w:rsid w:val="009E39EC"/>
    <w:rsid w:val="009E3A34"/>
    <w:rsid w:val="009E55F0"/>
    <w:rsid w:val="009F081D"/>
    <w:rsid w:val="00A02B72"/>
    <w:rsid w:val="00A077EE"/>
    <w:rsid w:val="00A14192"/>
    <w:rsid w:val="00A20967"/>
    <w:rsid w:val="00A20FA7"/>
    <w:rsid w:val="00A243C9"/>
    <w:rsid w:val="00A26C25"/>
    <w:rsid w:val="00A302CD"/>
    <w:rsid w:val="00A34771"/>
    <w:rsid w:val="00A36B71"/>
    <w:rsid w:val="00A417AD"/>
    <w:rsid w:val="00A45065"/>
    <w:rsid w:val="00A47A29"/>
    <w:rsid w:val="00A54111"/>
    <w:rsid w:val="00A5442B"/>
    <w:rsid w:val="00A552F6"/>
    <w:rsid w:val="00A574B2"/>
    <w:rsid w:val="00A63B98"/>
    <w:rsid w:val="00A66F63"/>
    <w:rsid w:val="00A703D3"/>
    <w:rsid w:val="00A7410C"/>
    <w:rsid w:val="00A74720"/>
    <w:rsid w:val="00A758E9"/>
    <w:rsid w:val="00A80780"/>
    <w:rsid w:val="00A81269"/>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23B2"/>
    <w:rsid w:val="00B0649D"/>
    <w:rsid w:val="00B10A31"/>
    <w:rsid w:val="00B17677"/>
    <w:rsid w:val="00B177B9"/>
    <w:rsid w:val="00B21BA3"/>
    <w:rsid w:val="00B21EF5"/>
    <w:rsid w:val="00B22472"/>
    <w:rsid w:val="00B25926"/>
    <w:rsid w:val="00B37313"/>
    <w:rsid w:val="00B57F7F"/>
    <w:rsid w:val="00B72A54"/>
    <w:rsid w:val="00B83C59"/>
    <w:rsid w:val="00B877EF"/>
    <w:rsid w:val="00B9228F"/>
    <w:rsid w:val="00B941F8"/>
    <w:rsid w:val="00B96469"/>
    <w:rsid w:val="00BA099B"/>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314A"/>
    <w:rsid w:val="00CA38C8"/>
    <w:rsid w:val="00CA3D13"/>
    <w:rsid w:val="00CA41F6"/>
    <w:rsid w:val="00CA42E7"/>
    <w:rsid w:val="00CB3683"/>
    <w:rsid w:val="00CC16EE"/>
    <w:rsid w:val="00CC586D"/>
    <w:rsid w:val="00CC71FF"/>
    <w:rsid w:val="00CD1674"/>
    <w:rsid w:val="00CD70AB"/>
    <w:rsid w:val="00CD793D"/>
    <w:rsid w:val="00CE0725"/>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5AD0"/>
    <w:rsid w:val="00DB7870"/>
    <w:rsid w:val="00DC256B"/>
    <w:rsid w:val="00DC2862"/>
    <w:rsid w:val="00DD1D39"/>
    <w:rsid w:val="00DD4A0A"/>
    <w:rsid w:val="00DE0348"/>
    <w:rsid w:val="00DE2DDE"/>
    <w:rsid w:val="00DE3A24"/>
    <w:rsid w:val="00DE70F1"/>
    <w:rsid w:val="00DF08BA"/>
    <w:rsid w:val="00DF4E14"/>
    <w:rsid w:val="00DF5404"/>
    <w:rsid w:val="00E00942"/>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C60C2"/>
    <w:rsid w:val="00ED2B7F"/>
    <w:rsid w:val="00EF1434"/>
    <w:rsid w:val="00EF3992"/>
    <w:rsid w:val="00F0051C"/>
    <w:rsid w:val="00F02AC0"/>
    <w:rsid w:val="00F05108"/>
    <w:rsid w:val="00F10DE4"/>
    <w:rsid w:val="00F10FF3"/>
    <w:rsid w:val="00F144E4"/>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555F"/>
    <w:rsid w:val="00F7660B"/>
    <w:rsid w:val="00F80B64"/>
    <w:rsid w:val="00F821B9"/>
    <w:rsid w:val="00F83E18"/>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97</Pages>
  <Words>38540</Words>
  <Characters>211972</Characters>
  <Application>Microsoft Office Word</Application>
  <DocSecurity>0</DocSecurity>
  <Lines>1766</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58</cp:revision>
  <cp:lastPrinted>2013-09-23T15:31:00Z</cp:lastPrinted>
  <dcterms:created xsi:type="dcterms:W3CDTF">2022-07-05T16:39:00Z</dcterms:created>
  <dcterms:modified xsi:type="dcterms:W3CDTF">2022-09-20T16:45:00Z</dcterms:modified>
</cp:coreProperties>
</file>