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2" w:name="_Hlk34314134"/>
      <w:r>
        <w:rPr>
          <w:rFonts w:asciiTheme="minorHAnsi" w:eastAsia="Calibri" w:hAnsiTheme="minorHAnsi" w:cstheme="minorHAnsi"/>
          <w:color w:val="0070C0"/>
          <w:sz w:val="16"/>
          <w:szCs w:val="16"/>
          <w:lang w:eastAsia="en-US"/>
        </w:rPr>
        <w:t>REFORMADO POR DEC. 193 P.O. 15 DEL 20 DE FEBRERO DE 2020.</w:t>
      </w:r>
      <w:bookmarkEnd w:id="2"/>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w:t>
      </w:r>
      <w:r w:rsidRPr="002D04BA">
        <w:rPr>
          <w:rFonts w:ascii="Arial" w:hAnsi="Arial" w:cs="Arial"/>
          <w:sz w:val="22"/>
          <w:szCs w:val="22"/>
        </w:rPr>
        <w:lastRenderedPageBreak/>
        <w:t xml:space="preserve">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 xml:space="preserve">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w:t>
      </w:r>
      <w:r w:rsidR="0072763A" w:rsidRPr="002D04BA">
        <w:rPr>
          <w:rFonts w:ascii="Arial" w:hAnsi="Arial" w:cs="Arial"/>
          <w:sz w:val="22"/>
          <w:szCs w:val="22"/>
        </w:rPr>
        <w:lastRenderedPageBreak/>
        <w:t>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lastRenderedPageBreak/>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lastRenderedPageBreak/>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3" w:name="_Hlk80266734"/>
      <w:r>
        <w:rPr>
          <w:rFonts w:asciiTheme="minorHAnsi" w:hAnsiTheme="minorHAnsi" w:cstheme="minorHAnsi"/>
          <w:color w:val="0070C0"/>
          <w:sz w:val="16"/>
          <w:szCs w:val="16"/>
          <w:lang w:val="es-ES"/>
        </w:rPr>
        <w:t>REFORMADO POR DEC. 315, P.O. 56 DEL 15 DE JULIO DEL 2021.</w:t>
      </w:r>
      <w:bookmarkEnd w:id="3"/>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lastRenderedPageBreak/>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w:t>
      </w:r>
      <w:r w:rsidRPr="004268C2">
        <w:rPr>
          <w:rFonts w:ascii="Arial" w:hAnsi="Arial" w:cs="Arial"/>
          <w:sz w:val="22"/>
          <w:szCs w:val="22"/>
          <w:lang w:val="es-ES"/>
        </w:rPr>
        <w:lastRenderedPageBreak/>
        <w:t xml:space="preserve">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lastRenderedPageBreak/>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lastRenderedPageBreak/>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4" w:name="_Hlk96950680"/>
      <w:r w:rsidRPr="009B084E">
        <w:rPr>
          <w:rFonts w:asciiTheme="minorHAnsi" w:hAnsiTheme="minorHAnsi" w:cs="Arial"/>
          <w:iCs/>
          <w:color w:val="0070C0"/>
          <w:sz w:val="16"/>
          <w:szCs w:val="16"/>
        </w:rPr>
        <w:t>REFORMADO POR DEC. 566, P.O. 11 DEL 6 DE FEBRERO DE 2022.</w:t>
      </w:r>
      <w:bookmarkEnd w:id="4"/>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2544536E" w14:textId="77777777" w:rsidR="00685B44" w:rsidRDefault="00685B44" w:rsidP="00D73D09">
      <w:pPr>
        <w:pStyle w:val="Ttulo3"/>
      </w:pPr>
    </w:p>
    <w:p w14:paraId="6CE83DF9" w14:textId="77777777" w:rsidR="00685B44" w:rsidRDefault="00685B44" w:rsidP="00D73D09">
      <w:pPr>
        <w:pStyle w:val="Ttulo3"/>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lastRenderedPageBreak/>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de Durango como parte integrante de la Federación de los Estados Unidos Mexicanos, libre y autónomo en su administración y gobierno interiores, se constituye en un Estado Social, </w:t>
      </w:r>
      <w:r w:rsidRPr="002D04BA">
        <w:rPr>
          <w:rFonts w:ascii="Arial" w:hAnsi="Arial" w:cs="Arial"/>
          <w:sz w:val="22"/>
          <w:szCs w:val="22"/>
        </w:rPr>
        <w:lastRenderedPageBreak/>
        <w:t>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lastRenderedPageBreak/>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lastRenderedPageBreak/>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 xml:space="preserve">Ratificar al Fiscal General del Estado, al </w:t>
      </w:r>
      <w:proofErr w:type="gramStart"/>
      <w:r w:rsidR="005C09E4" w:rsidRPr="005C09E4">
        <w:rPr>
          <w:rFonts w:ascii="Arial" w:hAnsi="Arial" w:cs="Arial"/>
          <w:sz w:val="22"/>
          <w:szCs w:val="22"/>
        </w:rPr>
        <w:t>Secretario</w:t>
      </w:r>
      <w:proofErr w:type="gramEnd"/>
      <w:r w:rsidR="005C09E4" w:rsidRPr="005C09E4">
        <w:rPr>
          <w:rFonts w:ascii="Arial" w:hAnsi="Arial" w:cs="Arial"/>
          <w:sz w:val="22"/>
          <w:szCs w:val="22"/>
        </w:rPr>
        <w:t xml:space="preserve">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E00942" w:rsidRPr="00E00942">
        <w:rPr>
          <w:rFonts w:ascii="Arial" w:hAnsi="Arial" w:cs="Arial"/>
          <w:sz w:val="22"/>
          <w:szCs w:val="22"/>
        </w:rPr>
        <w:t>las  investigaciones</w:t>
      </w:r>
      <w:proofErr w:type="gramEnd"/>
      <w:r w:rsidR="00E00942" w:rsidRPr="00E00942">
        <w:rPr>
          <w:rFonts w:ascii="Arial" w:hAnsi="Arial" w:cs="Arial"/>
          <w:sz w:val="22"/>
          <w:szCs w:val="22"/>
        </w:rPr>
        <w:t xml:space="preserve"> se harán de conocimiento del Pleno </w:t>
      </w:r>
      <w:r w:rsidR="00E00942" w:rsidRPr="00E00942">
        <w:rPr>
          <w:rFonts w:ascii="Arial" w:hAnsi="Arial" w:cs="Arial"/>
          <w:sz w:val="22"/>
          <w:szCs w:val="22"/>
        </w:rPr>
        <w:lastRenderedPageBreak/>
        <w:t>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5" w:name="_Hlk62733285"/>
      <w:r>
        <w:rPr>
          <w:rFonts w:asciiTheme="minorHAnsi" w:hAnsiTheme="minorHAnsi" w:cstheme="minorHAnsi"/>
          <w:bCs/>
          <w:color w:val="0070C0"/>
          <w:sz w:val="16"/>
          <w:szCs w:val="16"/>
        </w:rPr>
        <w:t>ADICIONADO POR DEC. 287 P.O. 43 DEL 28 DE MAYO DE 2020.</w:t>
      </w:r>
      <w:bookmarkEnd w:id="5"/>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w:t>
      </w:r>
      <w:proofErr w:type="gramStart"/>
      <w:r w:rsidRPr="000962E3">
        <w:rPr>
          <w:rFonts w:ascii="Arial" w:hAnsi="Arial" w:cs="Arial"/>
          <w:color w:val="000000"/>
          <w:sz w:val="22"/>
        </w:rPr>
        <w:t xml:space="preserve">Infractores,   </w:t>
      </w:r>
      <w:proofErr w:type="gramEnd"/>
      <w:r w:rsidRPr="000962E3">
        <w:rPr>
          <w:rFonts w:ascii="Arial" w:hAnsi="Arial" w:cs="Arial"/>
          <w:color w:val="000000"/>
          <w:sz w:val="22"/>
        </w:rPr>
        <w:t>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proofErr w:type="gramStart"/>
      <w:r>
        <w:rPr>
          <w:rFonts w:asciiTheme="minorHAnsi" w:hAnsiTheme="minorHAnsi"/>
          <w:i/>
          <w:color w:val="0070C0"/>
          <w:sz w:val="14"/>
        </w:rPr>
        <w:t>FRACCIÓN  ADICIONADA</w:t>
      </w:r>
      <w:proofErr w:type="gramEnd"/>
      <w:r>
        <w:rPr>
          <w:rFonts w:asciiTheme="minorHAnsi" w:hAnsiTheme="minorHAnsi"/>
          <w:i/>
          <w:color w:val="0070C0"/>
          <w:sz w:val="14"/>
        </w:rPr>
        <w:t xml:space="preserve">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proofErr w:type="gramStart"/>
      <w:r w:rsidRPr="00962926">
        <w:rPr>
          <w:rFonts w:ascii="Arial" w:hAnsi="Arial" w:cs="Arial"/>
          <w:b/>
          <w:sz w:val="22"/>
          <w:szCs w:val="22"/>
        </w:rPr>
        <w:t xml:space="preserve">- </w:t>
      </w:r>
      <w:r w:rsidR="006D7892">
        <w:rPr>
          <w:rFonts w:ascii="Arial" w:hAnsi="Arial" w:cs="Arial"/>
          <w:b/>
          <w:sz w:val="22"/>
          <w:szCs w:val="22"/>
        </w:rPr>
        <w:t xml:space="preserve"> </w:t>
      </w:r>
      <w:r w:rsidR="000962E3" w:rsidRPr="000962E3">
        <w:rPr>
          <w:rFonts w:ascii="Arial" w:hAnsi="Arial" w:cs="Arial"/>
          <w:color w:val="000000"/>
          <w:sz w:val="22"/>
        </w:rPr>
        <w:t>El</w:t>
      </w:r>
      <w:proofErr w:type="gramEnd"/>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proofErr w:type="gramStart"/>
      <w:r w:rsidRPr="000962E3">
        <w:rPr>
          <w:rFonts w:ascii="Arial" w:hAnsi="Arial" w:cs="Arial"/>
          <w:color w:val="000000"/>
          <w:sz w:val="22"/>
        </w:rPr>
        <w:t>y  de</w:t>
      </w:r>
      <w:proofErr w:type="gramEnd"/>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lastRenderedPageBreak/>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EEBD07E"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Consejero o Comisionado de un órgano constitucional autónomo, Magistrado o Consejero del Poder Judicial, Auditor Superior del </w:t>
      </w:r>
      <w:r w:rsidR="00213429" w:rsidRPr="002D04BA">
        <w:rPr>
          <w:rFonts w:ascii="Arial" w:hAnsi="Arial" w:cs="Arial"/>
          <w:sz w:val="22"/>
          <w:szCs w:val="22"/>
        </w:rPr>
        <w:t>Estado, Presidente</w:t>
      </w:r>
      <w:r w:rsidRPr="002D04BA">
        <w:rPr>
          <w:rFonts w:ascii="Arial" w:hAnsi="Arial" w:cs="Arial"/>
          <w:sz w:val="22"/>
          <w:szCs w:val="22"/>
        </w:rPr>
        <w:t xml:space="preserv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lastRenderedPageBreak/>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proofErr w:type="gramStart"/>
      <w:r w:rsidRPr="002D04BA">
        <w:rPr>
          <w:rFonts w:ascii="Arial" w:hAnsi="Arial" w:cs="Arial"/>
          <w:sz w:val="22"/>
          <w:szCs w:val="22"/>
        </w:rPr>
        <w:t>Consejero</w:t>
      </w:r>
      <w:proofErr w:type="gramEnd"/>
      <w:r w:rsidRPr="002D04BA">
        <w:rPr>
          <w:rFonts w:ascii="Arial" w:hAnsi="Arial" w:cs="Arial"/>
          <w:sz w:val="22"/>
          <w:szCs w:val="22"/>
        </w:rPr>
        <w:t xml:space="preserve">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lastRenderedPageBreak/>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 xml:space="preserve">Las funciones de procuración de justicia que se realicen en el Estado, se </w:t>
      </w:r>
      <w:proofErr w:type="gramStart"/>
      <w:r w:rsidRPr="002D04BA">
        <w:rPr>
          <w:rFonts w:ascii="Arial" w:hAnsi="Arial" w:cs="Arial"/>
          <w:sz w:val="22"/>
          <w:szCs w:val="22"/>
        </w:rPr>
        <w:t>harán  con</w:t>
      </w:r>
      <w:proofErr w:type="gramEnd"/>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011408">
        <w:rPr>
          <w:rFonts w:asciiTheme="minorHAnsi" w:hAnsiTheme="minorHAnsi" w:cs="Arial"/>
          <w:iCs/>
          <w:color w:val="0070C0"/>
          <w:sz w:val="16"/>
          <w:szCs w:val="16"/>
        </w:rPr>
        <w:t>PÁRRAFO</w:t>
      </w:r>
      <w:r w:rsidR="00236966" w:rsidRPr="00011408">
        <w:rPr>
          <w:rFonts w:asciiTheme="minorHAnsi" w:hAnsiTheme="minorHAnsi" w:cs="Arial"/>
          <w:iCs/>
          <w:color w:val="0070C0"/>
          <w:sz w:val="16"/>
          <w:szCs w:val="16"/>
        </w:rPr>
        <w:t xml:space="preserve"> REFORMADO POR DEC. 128</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P. O. 19</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011408" w:rsidRDefault="007A1F5A" w:rsidP="007A1F5A">
      <w:pPr>
        <w:jc w:val="right"/>
        <w:rPr>
          <w:rFonts w:asciiTheme="minorHAnsi" w:hAnsiTheme="minorHAnsi" w:cs="Arial"/>
          <w:color w:val="0070C0"/>
          <w:sz w:val="16"/>
          <w:szCs w:val="16"/>
        </w:rPr>
      </w:pPr>
      <w:r w:rsidRPr="00011408">
        <w:rPr>
          <w:rFonts w:asciiTheme="minorHAnsi" w:hAnsiTheme="minorHAnsi" w:cs="Arial"/>
          <w:color w:val="0070C0"/>
          <w:sz w:val="16"/>
          <w:szCs w:val="16"/>
        </w:rPr>
        <w:t>REFORMADO POR DEC. 119 P.O. 22 DEL 16 DE MARZO DE 2017.</w:t>
      </w:r>
    </w:p>
    <w:p w14:paraId="74ECB224" w14:textId="06F9852B" w:rsidR="00011408" w:rsidRPr="00011408" w:rsidRDefault="00011408" w:rsidP="007A1F5A">
      <w:pPr>
        <w:jc w:val="right"/>
        <w:rPr>
          <w:rFonts w:asciiTheme="minorHAnsi" w:hAnsiTheme="minorHAnsi" w:cs="Arial"/>
          <w:color w:val="0070C0"/>
          <w:sz w:val="16"/>
          <w:szCs w:val="16"/>
        </w:rPr>
      </w:pPr>
      <w:r>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lastRenderedPageBreak/>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2D04BA">
        <w:rPr>
          <w:rFonts w:ascii="Arial" w:hAnsi="Arial" w:cs="Arial"/>
          <w:sz w:val="22"/>
          <w:szCs w:val="22"/>
        </w:rPr>
        <w:t>carácter definitiva</w:t>
      </w:r>
      <w:proofErr w:type="gramEnd"/>
      <w:r w:rsidRPr="002D04BA">
        <w:rPr>
          <w:rFonts w:ascii="Arial" w:hAnsi="Arial" w:cs="Arial"/>
          <w:sz w:val="22"/>
          <w:szCs w:val="22"/>
        </w:rPr>
        <w:t xml:space="preserve">. Para el efecto de tener integrado el Pleno </w:t>
      </w:r>
      <w:r w:rsidRPr="002D04BA">
        <w:rPr>
          <w:rFonts w:ascii="Arial" w:hAnsi="Arial" w:cs="Arial"/>
          <w:sz w:val="22"/>
          <w:szCs w:val="22"/>
        </w:rPr>
        <w:lastRenderedPageBreak/>
        <w:t>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 xml:space="preserve">La renuncia de los magistrados se presentará ante el Congreso del Estado, </w:t>
      </w:r>
      <w:proofErr w:type="gramStart"/>
      <w:r w:rsidRPr="002D04BA">
        <w:rPr>
          <w:rFonts w:ascii="Arial" w:hAnsi="Arial" w:cs="Arial"/>
          <w:sz w:val="22"/>
          <w:szCs w:val="22"/>
        </w:rPr>
        <w:t>quien</w:t>
      </w:r>
      <w:proofErr w:type="gramEnd"/>
      <w:r w:rsidRPr="002D04BA">
        <w:rPr>
          <w:rFonts w:ascii="Arial" w:hAnsi="Arial" w:cs="Arial"/>
          <w:sz w:val="22"/>
          <w:szCs w:val="22"/>
        </w:rPr>
        <w:t xml:space="preserve"> de encontrarla procedente, notificará al Gobernador del Estado, a efecto de que envíe la propuesta para la sustitución del mismo. En este caso, se observará el procedimiento señalado en el presente artículo, para los efectos de la nueva designación, la </w:t>
      </w:r>
      <w:proofErr w:type="gramStart"/>
      <w:r w:rsidRPr="002D04BA">
        <w:rPr>
          <w:rFonts w:ascii="Arial" w:hAnsi="Arial" w:cs="Arial"/>
          <w:sz w:val="22"/>
          <w:szCs w:val="22"/>
        </w:rPr>
        <w:t>que</w:t>
      </w:r>
      <w:proofErr w:type="gramEnd"/>
      <w:r w:rsidRPr="002D04BA">
        <w:rPr>
          <w:rFonts w:ascii="Arial" w:hAnsi="Arial" w:cs="Arial"/>
          <w:sz w:val="22"/>
          <w:szCs w:val="22"/>
        </w:rPr>
        <w:t xml:space="preserv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Será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Ser ciudadano mexicano por nacimiento en pleno ejercicio de sus derechos </w:t>
      </w:r>
      <w:proofErr w:type="gramStart"/>
      <w:r w:rsidRPr="002D04BA">
        <w:rPr>
          <w:rFonts w:ascii="Arial" w:hAnsi="Arial" w:cs="Arial"/>
          <w:sz w:val="22"/>
          <w:szCs w:val="22"/>
        </w:rPr>
        <w:t>políticos  y</w:t>
      </w:r>
      <w:proofErr w:type="gramEnd"/>
      <w:r w:rsidRPr="002D04BA">
        <w:rPr>
          <w:rFonts w:ascii="Arial" w:hAnsi="Arial" w:cs="Arial"/>
          <w:sz w:val="22"/>
          <w:szCs w:val="22"/>
        </w:rPr>
        <w:t xml:space="preserve">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titular de alguna de las secretarías de despacho del Ejecutivo, Fiscal General, Diputado, Diputado Federal, Senador, </w:t>
      </w:r>
      <w:proofErr w:type="gramStart"/>
      <w:r w:rsidRPr="002D04BA">
        <w:rPr>
          <w:rFonts w:ascii="Arial" w:hAnsi="Arial" w:cs="Arial"/>
          <w:sz w:val="22"/>
          <w:szCs w:val="22"/>
        </w:rPr>
        <w:t>Presidente</w:t>
      </w:r>
      <w:proofErr w:type="gramEnd"/>
      <w:r w:rsidRPr="002D04BA">
        <w:rPr>
          <w:rFonts w:ascii="Arial" w:hAnsi="Arial" w:cs="Arial"/>
          <w:sz w:val="22"/>
          <w:szCs w:val="22"/>
        </w:rPr>
        <w:t>,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lastRenderedPageBreak/>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lastRenderedPageBreak/>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 xml:space="preserve">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w:t>
      </w:r>
      <w:r w:rsidR="0072763A" w:rsidRPr="002D04BA">
        <w:rPr>
          <w:rFonts w:ascii="Arial" w:hAnsi="Arial" w:cs="Arial"/>
          <w:sz w:val="22"/>
          <w:szCs w:val="22"/>
        </w:rPr>
        <w:lastRenderedPageBreak/>
        <w:t>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 xml:space="preserve">Los consejeros, a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w:t>
      </w:r>
      <w:r w:rsidR="003E1C11" w:rsidRPr="003E1C11">
        <w:rPr>
          <w:rFonts w:ascii="Arial" w:hAnsi="Arial" w:cs="Arial"/>
          <w:sz w:val="22"/>
          <w:szCs w:val="22"/>
        </w:rPr>
        <w:lastRenderedPageBreak/>
        <w:t>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w:t>
      </w:r>
      <w:r w:rsidR="002A1089" w:rsidRPr="002D04BA">
        <w:rPr>
          <w:rFonts w:ascii="Arial" w:hAnsi="Arial" w:cs="Arial"/>
          <w:color w:val="000000" w:themeColor="text1"/>
          <w:sz w:val="22"/>
          <w:szCs w:val="22"/>
        </w:rPr>
        <w:lastRenderedPageBreak/>
        <w:t>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 xml:space="preserve">El Instituto de Evaluación de Políticas Públicas es el organismo encargado de medir y evaluar el desempeño de las políticas públicas, y de generar información para que los poderes y los </w:t>
      </w:r>
      <w:r w:rsidR="0072763A" w:rsidRPr="002D04BA">
        <w:rPr>
          <w:rFonts w:ascii="Arial" w:hAnsi="Arial" w:cs="Arial"/>
          <w:sz w:val="22"/>
          <w:szCs w:val="22"/>
        </w:rPr>
        <w:lastRenderedPageBreak/>
        <w:t>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En el caso de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lastRenderedPageBreak/>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w:t>
      </w:r>
      <w:proofErr w:type="gramStart"/>
      <w:r w:rsidRPr="007D5E84">
        <w:rPr>
          <w:rFonts w:ascii="Arial" w:hAnsi="Arial" w:cs="Arial"/>
          <w:sz w:val="22"/>
          <w:szCs w:val="22"/>
          <w:lang w:val="es-MX" w:eastAsia="es-MX"/>
        </w:rPr>
        <w:t>lo  establezca</w:t>
      </w:r>
      <w:proofErr w:type="gramEnd"/>
      <w:r w:rsidRPr="007D5E84">
        <w:rPr>
          <w:rFonts w:ascii="Arial" w:hAnsi="Arial" w:cs="Arial"/>
          <w:sz w:val="22"/>
          <w:szCs w:val="22"/>
          <w:lang w:val="es-MX" w:eastAsia="es-MX"/>
        </w:rPr>
        <w:t xml:space="preserve">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 xml:space="preserve">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w:t>
      </w:r>
      <w:r w:rsidR="00895B42" w:rsidRPr="00895B42">
        <w:rPr>
          <w:rFonts w:ascii="Arial" w:hAnsi="Arial" w:cs="Arial"/>
          <w:color w:val="000000"/>
          <w:sz w:val="22"/>
        </w:rPr>
        <w:lastRenderedPageBreak/>
        <w:t>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 xml:space="preserve">Los presidentes municipales deberán rendir un informe a sus respectivos ayuntamientos, sobre el estado que guarde la administración pública municipal a su cargo, con base al </w:t>
      </w:r>
      <w:r w:rsidR="0072763A" w:rsidRPr="002D04BA">
        <w:rPr>
          <w:rFonts w:ascii="Arial" w:hAnsi="Arial" w:cs="Arial"/>
          <w:sz w:val="22"/>
          <w:szCs w:val="22"/>
        </w:rPr>
        <w:lastRenderedPageBreak/>
        <w:t>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lastRenderedPageBreak/>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5DF91E23" w14:textId="77777777" w:rsidR="00011408" w:rsidRPr="002D04BA" w:rsidRDefault="00011408"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 xml:space="preserve">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w:t>
      </w:r>
      <w:r w:rsidR="00DD1D39" w:rsidRPr="00DD1D39">
        <w:rPr>
          <w:rFonts w:ascii="Arial" w:hAnsi="Arial" w:cs="Arial"/>
          <w:sz w:val="22"/>
          <w:szCs w:val="22"/>
        </w:rPr>
        <w:lastRenderedPageBreak/>
        <w:t>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w:t>
      </w:r>
      <w:r w:rsidRPr="002E2EDC">
        <w:rPr>
          <w:rFonts w:ascii="Arial" w:hAnsi="Arial" w:cs="Arial"/>
          <w:sz w:val="22"/>
          <w:szCs w:val="22"/>
          <w:shd w:val="clear" w:color="auto" w:fill="FFFFFF"/>
          <w:lang w:val="es-MX" w:eastAsia="es-MX"/>
        </w:rPr>
        <w:lastRenderedPageBreak/>
        <w:t>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357D7510" w14:textId="35AAD50B"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CA38C8" w:rsidRPr="00CA38C8">
        <w:rPr>
          <w:rFonts w:ascii="Arial" w:hAnsi="Arial" w:cs="Arial"/>
          <w:bCs/>
          <w:sz w:val="22"/>
          <w:szCs w:val="22"/>
          <w:lang w:val="es-ES"/>
        </w:rPr>
        <w:t xml:space="preserve">Para proceder penalmente contra el Gobernador del Estado, las y los diputados, las y los magistrados del Poder Judicial, las y los consejeros del Consejo de la Judicatura, las y los jueces de Primera Instancia, las y los jueces del Tribunal para Menores Infractores, las y los secretarios de Despacho, el o la Fiscal General del Estado y las y los presidentes municipales, el Congreso del Estado declarará por mayoría absoluta de los integrantes de la Legislatura si </w:t>
      </w:r>
      <w:proofErr w:type="spellStart"/>
      <w:r w:rsidR="00CA38C8" w:rsidRPr="00CA38C8">
        <w:rPr>
          <w:rFonts w:ascii="Arial" w:hAnsi="Arial" w:cs="Arial"/>
          <w:bCs/>
          <w:sz w:val="22"/>
          <w:szCs w:val="22"/>
          <w:lang w:val="es-ES"/>
        </w:rPr>
        <w:t>ha</w:t>
      </w:r>
      <w:proofErr w:type="spellEnd"/>
      <w:r w:rsidR="00CA38C8" w:rsidRPr="00CA38C8">
        <w:rPr>
          <w:rFonts w:ascii="Arial" w:hAnsi="Arial" w:cs="Arial"/>
          <w:bCs/>
          <w:sz w:val="22"/>
          <w:szCs w:val="22"/>
          <w:lang w:val="es-ES"/>
        </w:rPr>
        <w:t xml:space="preserve">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6" w:name="_Hlk80274096"/>
      <w:r>
        <w:rPr>
          <w:rFonts w:asciiTheme="minorHAnsi" w:hAnsiTheme="minorHAnsi" w:cstheme="minorHAnsi"/>
          <w:bCs/>
          <w:color w:val="0070C0"/>
          <w:sz w:val="16"/>
          <w:szCs w:val="16"/>
        </w:rPr>
        <w:t>REFORMADO POR DEC. 482, P.O. 56 DEL 15 DE JULIO DE 2021.</w:t>
      </w:r>
      <w:bookmarkEnd w:id="6"/>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lastRenderedPageBreak/>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lastRenderedPageBreak/>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lastRenderedPageBreak/>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lastRenderedPageBreak/>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lastRenderedPageBreak/>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lastRenderedPageBreak/>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lastRenderedPageBreak/>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lastRenderedPageBreak/>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171E0A49" w14:textId="77777777"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lastRenderedPageBreak/>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458325A" w:rsidR="007D66C5" w:rsidRPr="007D66C5" w:rsidRDefault="007D66C5" w:rsidP="005B1C7B">
      <w:pPr>
        <w:jc w:val="both"/>
        <w:rPr>
          <w:rFonts w:ascii="Arial" w:hAnsi="Arial" w:cs="Arial"/>
          <w:lang w:val="es-ES"/>
        </w:rPr>
      </w:pPr>
      <w:r w:rsidRPr="007D66C5">
        <w:rPr>
          <w:rFonts w:ascii="Arial" w:hAnsi="Arial" w:cs="Arial"/>
        </w:rPr>
        <w:t>DIP. GERARDO GALAVIZ MARTINEZ PRESIDENTE. DIP. SUGHEY ADRIANA TORRES RODRÍGUEZ SECRETARIA. DIP. ALEJANDRA DEL VALLE RAMÍREZ SECRETARIA</w:t>
      </w:r>
    </w:p>
    <w:sectPr w:rsidR="007D66C5" w:rsidRPr="007D66C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4ABF" w14:textId="77777777" w:rsidR="009E1AAB" w:rsidRDefault="009E1AAB" w:rsidP="00FA3700">
      <w:r>
        <w:separator/>
      </w:r>
    </w:p>
  </w:endnote>
  <w:endnote w:type="continuationSeparator" w:id="0">
    <w:p w14:paraId="65BB3EEA" w14:textId="77777777" w:rsidR="009E1AAB" w:rsidRDefault="009E1AA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FC1BD4C" w14:textId="77777777" w:rsidR="00337E36" w:rsidRDefault="00337E36">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337E36" w:rsidRDefault="00337E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4C8F4" w14:textId="77777777" w:rsidR="009E1AAB" w:rsidRDefault="009E1AAB" w:rsidP="00FA3700">
      <w:r>
        <w:separator/>
      </w:r>
    </w:p>
  </w:footnote>
  <w:footnote w:type="continuationSeparator" w:id="0">
    <w:p w14:paraId="35802381" w14:textId="77777777" w:rsidR="009E1AAB" w:rsidRDefault="009E1AA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337E36" w14:paraId="6382D7B2" w14:textId="77777777" w:rsidTr="00907146">
      <w:tc>
        <w:tcPr>
          <w:tcW w:w="3828" w:type="dxa"/>
          <w:tcBorders>
            <w:top w:val="nil"/>
            <w:left w:val="nil"/>
            <w:bottom w:val="nil"/>
            <w:right w:val="nil"/>
          </w:tcBorders>
        </w:tcPr>
        <w:p w14:paraId="23E3E6AC" w14:textId="77777777" w:rsidR="00337E36" w:rsidRDefault="00337E36"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337E36" w:rsidRDefault="00337E36" w:rsidP="00B37313">
          <w:pPr>
            <w:pStyle w:val="Encabezado"/>
          </w:pPr>
        </w:p>
        <w:p w14:paraId="380A2C97" w14:textId="77777777" w:rsidR="00337E36" w:rsidRPr="00047254" w:rsidRDefault="00337E36"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337E36" w:rsidRPr="00047254" w:rsidRDefault="00337E36" w:rsidP="00B37313">
          <w:pPr>
            <w:pStyle w:val="Encabezado"/>
            <w:rPr>
              <w:rFonts w:ascii="Arial" w:hAnsi="Arial" w:cs="Arial"/>
              <w:b/>
              <w:sz w:val="16"/>
              <w:szCs w:val="16"/>
            </w:rPr>
          </w:pPr>
        </w:p>
        <w:p w14:paraId="1096E83D" w14:textId="77777777" w:rsidR="00337E36" w:rsidRDefault="00337E36" w:rsidP="00B37313">
          <w:pPr>
            <w:pStyle w:val="Encabezado"/>
            <w:rPr>
              <w:rFonts w:ascii="Copperplate Gothic Bold" w:hAnsi="Copperplate Gothic Bold"/>
            </w:rPr>
          </w:pPr>
        </w:p>
        <w:p w14:paraId="08581AD8" w14:textId="77777777" w:rsidR="00337E36" w:rsidRDefault="00337E36" w:rsidP="00B37313">
          <w:pPr>
            <w:pStyle w:val="Encabezado"/>
            <w:rPr>
              <w:rFonts w:ascii="Copperplate Gothic Bold" w:hAnsi="Copperplate Gothic Bold"/>
            </w:rPr>
          </w:pPr>
        </w:p>
        <w:p w14:paraId="370A8A2A" w14:textId="77777777" w:rsidR="00337E36" w:rsidRPr="00B37313" w:rsidRDefault="00337E36" w:rsidP="00B37313">
          <w:pPr>
            <w:pStyle w:val="Encabezado"/>
            <w:rPr>
              <w:rFonts w:ascii="Copperplate Gothic Bold" w:hAnsi="Copperplate Gothic Bold"/>
            </w:rPr>
          </w:pPr>
        </w:p>
        <w:p w14:paraId="2A6341DA" w14:textId="77777777" w:rsidR="00337E36" w:rsidRPr="00B37313" w:rsidRDefault="00337E36" w:rsidP="00F05108">
          <w:pPr>
            <w:pStyle w:val="Encabezado"/>
            <w:ind w:firstLine="708"/>
            <w:rPr>
              <w:rFonts w:asciiTheme="majorHAnsi" w:hAnsiTheme="majorHAnsi"/>
              <w:sz w:val="18"/>
              <w:szCs w:val="18"/>
            </w:rPr>
          </w:pPr>
        </w:p>
        <w:p w14:paraId="3CE224CF" w14:textId="77777777" w:rsidR="00337E36" w:rsidRPr="00907146" w:rsidRDefault="00337E36"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1872309C" w:rsidR="00337E36" w:rsidRPr="00DE2DDE" w:rsidRDefault="00337E36" w:rsidP="00DE2DDE">
          <w:pPr>
            <w:pStyle w:val="Ttulo2"/>
            <w:outlineLvl w:val="1"/>
          </w:pPr>
          <w:r>
            <w:t xml:space="preserve">DEC. </w:t>
          </w:r>
          <w:r w:rsidR="0020787B">
            <w:t>97</w:t>
          </w:r>
          <w:r>
            <w:t xml:space="preserve"> P.O. </w:t>
          </w:r>
          <w:r w:rsidR="0020787B">
            <w:t>36</w:t>
          </w:r>
          <w:r>
            <w:t xml:space="preserve"> DEL </w:t>
          </w:r>
          <w:r w:rsidR="0020787B">
            <w:t>5</w:t>
          </w:r>
          <w:r>
            <w:t xml:space="preserve"> DE</w:t>
          </w:r>
          <w:r w:rsidR="0020787B">
            <w:t xml:space="preserve"> MAYO</w:t>
          </w:r>
          <w:r w:rsidRPr="00DE2DDE">
            <w:t xml:space="preserve"> DE 20</w:t>
          </w:r>
          <w:r>
            <w:t>22</w:t>
          </w:r>
          <w:r w:rsidRPr="00DE2DDE">
            <w:t>.</w:t>
          </w:r>
        </w:p>
        <w:p w14:paraId="186638E6" w14:textId="77777777" w:rsidR="00337E36" w:rsidRPr="00964BFE" w:rsidRDefault="00337E36" w:rsidP="00DE2DDE">
          <w:pPr>
            <w:pStyle w:val="Ttulo2"/>
            <w:outlineLvl w:val="1"/>
          </w:pPr>
          <w:r w:rsidRPr="00964BFE">
            <w:t xml:space="preserve"> </w:t>
          </w:r>
        </w:p>
        <w:p w14:paraId="24A18548" w14:textId="77777777" w:rsidR="00337E36" w:rsidRPr="0087385B" w:rsidRDefault="00337E36" w:rsidP="0087385B">
          <w:pPr>
            <w:pStyle w:val="Encabezado"/>
            <w:jc w:val="right"/>
            <w:rPr>
              <w:rFonts w:asciiTheme="majorHAnsi" w:hAnsiTheme="majorHAnsi"/>
              <w:sz w:val="16"/>
              <w:szCs w:val="16"/>
            </w:rPr>
          </w:pPr>
        </w:p>
      </w:tc>
    </w:tr>
  </w:tbl>
  <w:p w14:paraId="2D99BEE0" w14:textId="77777777" w:rsidR="00337E36" w:rsidRPr="00B37313" w:rsidRDefault="00337E36"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1046A4"/>
    <w:rsid w:val="001109C6"/>
    <w:rsid w:val="00111E38"/>
    <w:rsid w:val="00121AC8"/>
    <w:rsid w:val="001228CC"/>
    <w:rsid w:val="00124CD4"/>
    <w:rsid w:val="00130E59"/>
    <w:rsid w:val="001357DF"/>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B0304"/>
    <w:rsid w:val="001D7949"/>
    <w:rsid w:val="001E1E56"/>
    <w:rsid w:val="001E25EB"/>
    <w:rsid w:val="001E5973"/>
    <w:rsid w:val="001E59B6"/>
    <w:rsid w:val="001F2820"/>
    <w:rsid w:val="001F405D"/>
    <w:rsid w:val="00200FD3"/>
    <w:rsid w:val="0020287C"/>
    <w:rsid w:val="002037A7"/>
    <w:rsid w:val="00204010"/>
    <w:rsid w:val="00204527"/>
    <w:rsid w:val="00205A67"/>
    <w:rsid w:val="0020787B"/>
    <w:rsid w:val="00210D58"/>
    <w:rsid w:val="002114DB"/>
    <w:rsid w:val="00213429"/>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1C7B"/>
    <w:rsid w:val="005B26C2"/>
    <w:rsid w:val="005B58A9"/>
    <w:rsid w:val="005B717E"/>
    <w:rsid w:val="005C09E4"/>
    <w:rsid w:val="005D22F8"/>
    <w:rsid w:val="005D2659"/>
    <w:rsid w:val="005D2B91"/>
    <w:rsid w:val="005D69E8"/>
    <w:rsid w:val="005E2B0D"/>
    <w:rsid w:val="005E6162"/>
    <w:rsid w:val="005E7A2F"/>
    <w:rsid w:val="005F200C"/>
    <w:rsid w:val="005F4984"/>
    <w:rsid w:val="00605FB4"/>
    <w:rsid w:val="006066A3"/>
    <w:rsid w:val="0061004A"/>
    <w:rsid w:val="00615B33"/>
    <w:rsid w:val="00625148"/>
    <w:rsid w:val="00626343"/>
    <w:rsid w:val="006336F7"/>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24ED"/>
    <w:rsid w:val="007C638C"/>
    <w:rsid w:val="007D5856"/>
    <w:rsid w:val="007D5E84"/>
    <w:rsid w:val="007D66C5"/>
    <w:rsid w:val="007E506A"/>
    <w:rsid w:val="0080025E"/>
    <w:rsid w:val="00801E17"/>
    <w:rsid w:val="00803B5C"/>
    <w:rsid w:val="00810CFF"/>
    <w:rsid w:val="00812959"/>
    <w:rsid w:val="00814A8C"/>
    <w:rsid w:val="00816ABA"/>
    <w:rsid w:val="00817AC4"/>
    <w:rsid w:val="008235EC"/>
    <w:rsid w:val="00824F3A"/>
    <w:rsid w:val="00834BAE"/>
    <w:rsid w:val="0083523B"/>
    <w:rsid w:val="00843055"/>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8F7AC6"/>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4E"/>
    <w:rsid w:val="009B08C8"/>
    <w:rsid w:val="009B0E85"/>
    <w:rsid w:val="009C23F1"/>
    <w:rsid w:val="009C6EEA"/>
    <w:rsid w:val="009D199A"/>
    <w:rsid w:val="009E1AAB"/>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3B98"/>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25926"/>
    <w:rsid w:val="00B37313"/>
    <w:rsid w:val="00B72A54"/>
    <w:rsid w:val="00B83C59"/>
    <w:rsid w:val="00B877EF"/>
    <w:rsid w:val="00B9228F"/>
    <w:rsid w:val="00B96469"/>
    <w:rsid w:val="00BA099B"/>
    <w:rsid w:val="00BA34A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5AA5"/>
    <w:rsid w:val="00C77A73"/>
    <w:rsid w:val="00C82DF3"/>
    <w:rsid w:val="00C83856"/>
    <w:rsid w:val="00C8386A"/>
    <w:rsid w:val="00C87B97"/>
    <w:rsid w:val="00C906AC"/>
    <w:rsid w:val="00C92A98"/>
    <w:rsid w:val="00C9329B"/>
    <w:rsid w:val="00C964D1"/>
    <w:rsid w:val="00CA38C8"/>
    <w:rsid w:val="00CA3D13"/>
    <w:rsid w:val="00CA41F6"/>
    <w:rsid w:val="00CA42E7"/>
    <w:rsid w:val="00CB3683"/>
    <w:rsid w:val="00CC16EE"/>
    <w:rsid w:val="00CC586D"/>
    <w:rsid w:val="00CC71FF"/>
    <w:rsid w:val="00CD1674"/>
    <w:rsid w:val="00CD70AB"/>
    <w:rsid w:val="00CD793D"/>
    <w:rsid w:val="00CE0725"/>
    <w:rsid w:val="00CE5BFC"/>
    <w:rsid w:val="00CF0152"/>
    <w:rsid w:val="00CF5287"/>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B787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95</Pages>
  <Words>37183</Words>
  <Characters>204510</Characters>
  <Application>Microsoft Office Word</Application>
  <DocSecurity>0</DocSecurity>
  <Lines>1704</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18</cp:revision>
  <cp:lastPrinted>2013-09-23T15:31:00Z</cp:lastPrinted>
  <dcterms:created xsi:type="dcterms:W3CDTF">2022-06-06T17:49:00Z</dcterms:created>
  <dcterms:modified xsi:type="dcterms:W3CDTF">2022-06-06T19:16:00Z</dcterms:modified>
</cp:coreProperties>
</file>