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0" w:name="_Hlk80274592"/>
      <w:r>
        <w:rPr>
          <w:rFonts w:asciiTheme="minorHAnsi" w:hAnsiTheme="minorHAnsi" w:cs="Arial"/>
          <w:color w:val="0070C0"/>
          <w:sz w:val="16"/>
          <w:szCs w:val="16"/>
          <w:lang w:val="es-ES"/>
        </w:rPr>
        <w:t>ARTICULO REFORMADO POR DEC. 483 P.O. 56 DE FECHA 15 DE JULIO DE 2021.</w:t>
      </w:r>
      <w:bookmarkEnd w:id="0"/>
    </w:p>
    <w:p w14:paraId="539030D8" w14:textId="77777777" w:rsidR="0072763A" w:rsidRPr="002D04BA" w:rsidRDefault="0072763A" w:rsidP="0087385B">
      <w:pPr>
        <w:jc w:val="both"/>
        <w:rPr>
          <w:rFonts w:ascii="Arial" w:hAnsi="Arial" w:cs="Arial"/>
          <w:sz w:val="22"/>
          <w:szCs w:val="22"/>
        </w:rPr>
      </w:pPr>
    </w:p>
    <w:p w14:paraId="5DAEB5CB" w14:textId="4630F45D"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lastRenderedPageBreak/>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1" w:name="_Hlk34314134"/>
      <w:r>
        <w:rPr>
          <w:rFonts w:asciiTheme="minorHAnsi" w:eastAsia="Calibri" w:hAnsiTheme="minorHAnsi" w:cstheme="minorHAnsi"/>
          <w:color w:val="0070C0"/>
          <w:sz w:val="16"/>
          <w:szCs w:val="16"/>
          <w:lang w:eastAsia="en-US"/>
        </w:rPr>
        <w:t>REFORMADO POR DEC. 193 P.O. 15 DEL 20 DE FEBRERO DE 2020.</w:t>
      </w:r>
      <w:bookmarkEnd w:id="1"/>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w:t>
      </w:r>
      <w:r w:rsidRPr="00BC2EF8">
        <w:rPr>
          <w:rFonts w:ascii="Arial" w:hAnsi="Arial" w:cs="Arial"/>
          <w:sz w:val="22"/>
          <w:szCs w:val="22"/>
          <w:lang w:val="es-ES_tradnl"/>
        </w:rPr>
        <w:lastRenderedPageBreak/>
        <w:t>como a recibir asistencia por intérpretes y defensores con conocimiento de su lengua, usos, costumbres y cultura.</w:t>
      </w:r>
    </w:p>
    <w:p w14:paraId="3E389DB8" w14:textId="2EA0411E" w:rsidR="004268C2" w:rsidRPr="002D04BA" w:rsidRDefault="004268C2" w:rsidP="004268C2">
      <w:pPr>
        <w:pStyle w:val="Prrafodelista"/>
        <w:tabs>
          <w:tab w:val="left" w:pos="426"/>
        </w:tabs>
        <w:ind w:left="0"/>
        <w:jc w:val="both"/>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w:t>
      </w:r>
      <w:proofErr w:type="gramStart"/>
      <w:r w:rsidRPr="002D04BA">
        <w:rPr>
          <w:rFonts w:ascii="Arial" w:hAnsi="Arial" w:cs="Arial"/>
          <w:sz w:val="22"/>
          <w:szCs w:val="22"/>
        </w:rPr>
        <w:t>proporcionales</w:t>
      </w:r>
      <w:proofErr w:type="gramEnd"/>
      <w:r w:rsidRPr="002D04BA">
        <w:rPr>
          <w:rFonts w:ascii="Arial" w:hAnsi="Arial" w:cs="Arial"/>
          <w:sz w:val="22"/>
          <w:szCs w:val="22"/>
        </w:rPr>
        <w:t xml:space="preserve">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educación pública será laica y gratuita; su objetivo será el pleno desarrollo de la personalidad y las capacidades de los estudiantes; promoverá la conservación y difusión del patrimonio artístico, histórico, </w:t>
      </w:r>
      <w:r w:rsidRPr="002D04BA">
        <w:rPr>
          <w:rFonts w:ascii="Arial" w:hAnsi="Arial" w:cs="Arial"/>
          <w:sz w:val="22"/>
          <w:szCs w:val="22"/>
        </w:rPr>
        <w:lastRenderedPageBreak/>
        <w:t>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lastRenderedPageBreak/>
        <w:t xml:space="preserve">La propiedad es un derecho que debe desempeñar una función social, por lo </w:t>
      </w:r>
      <w:proofErr w:type="gramStart"/>
      <w:r w:rsidRPr="002D04BA">
        <w:rPr>
          <w:rFonts w:ascii="Arial" w:hAnsi="Arial" w:cs="Arial"/>
          <w:sz w:val="22"/>
          <w:szCs w:val="22"/>
        </w:rPr>
        <w:t>tanto</w:t>
      </w:r>
      <w:proofErr w:type="gramEnd"/>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2" w:name="_Hlk80266734"/>
      <w:r>
        <w:rPr>
          <w:rFonts w:asciiTheme="minorHAnsi" w:hAnsiTheme="minorHAnsi" w:cstheme="minorHAnsi"/>
          <w:color w:val="0070C0"/>
          <w:sz w:val="16"/>
          <w:szCs w:val="16"/>
          <w:lang w:val="es-ES"/>
        </w:rPr>
        <w:t>REFORMADO POR DEC. 315, P.O. 56 DEL 15 DE JULIO DEL 2021.</w:t>
      </w:r>
      <w:bookmarkEnd w:id="2"/>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lastRenderedPageBreak/>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proofErr w:type="gramStart"/>
      <w:r w:rsidR="0072763A" w:rsidRPr="002D04BA">
        <w:rPr>
          <w:rFonts w:ascii="Arial" w:hAnsi="Arial" w:cs="Arial"/>
          <w:sz w:val="22"/>
          <w:szCs w:val="22"/>
        </w:rPr>
        <w:t>que</w:t>
      </w:r>
      <w:proofErr w:type="gramEnd"/>
      <w:r w:rsidR="0072763A" w:rsidRPr="002D04BA">
        <w:rPr>
          <w:rFonts w:ascii="Arial" w:hAnsi="Arial" w:cs="Arial"/>
          <w:sz w:val="22"/>
          <w:szCs w:val="22"/>
        </w:rPr>
        <w:t xml:space="preserv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921265">
      <w:pPr>
        <w:pStyle w:val="Prrafodelista"/>
        <w:tabs>
          <w:tab w:val="left" w:pos="567"/>
        </w:tabs>
        <w:ind w:left="0"/>
        <w:jc w:val="both"/>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w:t>
      </w:r>
      <w:r w:rsidRPr="002D04BA">
        <w:rPr>
          <w:rFonts w:ascii="Arial" w:hAnsi="Arial" w:cs="Arial"/>
          <w:sz w:val="22"/>
          <w:szCs w:val="22"/>
        </w:rPr>
        <w:lastRenderedPageBreak/>
        <w:t>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107BE060" w:rsidR="00243737" w:rsidRDefault="00243737" w:rsidP="0087385B">
      <w:pPr>
        <w:pStyle w:val="Prrafodelista"/>
        <w:tabs>
          <w:tab w:val="left" w:pos="384"/>
        </w:tabs>
        <w:ind w:left="0"/>
        <w:jc w:val="center"/>
        <w:rPr>
          <w:rFonts w:ascii="Arial" w:hAnsi="Arial" w:cs="Arial"/>
          <w:b/>
          <w:sz w:val="22"/>
          <w:szCs w:val="22"/>
        </w:rPr>
      </w:pPr>
    </w:p>
    <w:p w14:paraId="7B5B7EBD" w14:textId="001A1DE3" w:rsidR="00921265" w:rsidRDefault="00921265" w:rsidP="0087385B">
      <w:pPr>
        <w:pStyle w:val="Prrafodelista"/>
        <w:tabs>
          <w:tab w:val="left" w:pos="384"/>
        </w:tabs>
        <w:ind w:left="0"/>
        <w:jc w:val="center"/>
        <w:rPr>
          <w:rFonts w:ascii="Arial" w:hAnsi="Arial" w:cs="Arial"/>
          <w:b/>
          <w:sz w:val="22"/>
          <w:szCs w:val="22"/>
        </w:rPr>
      </w:pPr>
    </w:p>
    <w:p w14:paraId="04F93F72" w14:textId="6903B1CF" w:rsidR="00921265" w:rsidRDefault="00921265" w:rsidP="0087385B">
      <w:pPr>
        <w:pStyle w:val="Prrafodelista"/>
        <w:tabs>
          <w:tab w:val="left" w:pos="384"/>
        </w:tabs>
        <w:ind w:left="0"/>
        <w:jc w:val="center"/>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lastRenderedPageBreak/>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lastRenderedPageBreak/>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77777777"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6625686A" w14:textId="77777777"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1ECA7492" w14:textId="77777777" w:rsidR="0072763A" w:rsidRDefault="0072763A" w:rsidP="0087385B">
      <w:pPr>
        <w:jc w:val="both"/>
        <w:rPr>
          <w:rFonts w:ascii="Arial" w:hAnsi="Arial" w:cs="Arial"/>
          <w:sz w:val="22"/>
          <w:szCs w:val="22"/>
        </w:rPr>
      </w:pPr>
    </w:p>
    <w:p w14:paraId="57E6D0DE" w14:textId="77777777" w:rsidR="00A02B72" w:rsidRPr="002D04BA" w:rsidRDefault="00A02B72" w:rsidP="0087385B">
      <w:pPr>
        <w:jc w:val="both"/>
        <w:rPr>
          <w:rFonts w:ascii="Arial" w:hAnsi="Arial" w:cs="Arial"/>
          <w:sz w:val="22"/>
          <w:szCs w:val="22"/>
        </w:rPr>
      </w:pPr>
    </w:p>
    <w:p w14:paraId="4CE7A798" w14:textId="77777777" w:rsidR="0072763A" w:rsidRPr="00D73D09" w:rsidRDefault="00D73D09" w:rsidP="00DE2DDE">
      <w:pPr>
        <w:pStyle w:val="Ttulo2"/>
      </w:pPr>
      <w:r w:rsidRPr="00D73D09">
        <w:t>TÍTULO CUARTO</w:t>
      </w:r>
    </w:p>
    <w:p w14:paraId="6E154EFA" w14:textId="77777777" w:rsidR="0072763A" w:rsidRPr="00D73D09" w:rsidRDefault="00D73D09" w:rsidP="00DE2DDE">
      <w:pPr>
        <w:pStyle w:val="Ttulo2"/>
      </w:pPr>
      <w:r w:rsidRPr="00D73D09">
        <w:t>DE LA SOBERANÍA Y FORMA DE GOBIERNO</w:t>
      </w:r>
    </w:p>
    <w:p w14:paraId="4283C814" w14:textId="77777777" w:rsidR="0072763A" w:rsidRPr="00D73D09" w:rsidRDefault="0072763A" w:rsidP="0087385B">
      <w:pPr>
        <w:jc w:val="center"/>
        <w:rPr>
          <w:rFonts w:ascii="Arial" w:hAnsi="Arial" w:cs="Arial"/>
          <w:b/>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lastRenderedPageBreak/>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lastRenderedPageBreak/>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proofErr w:type="gramStart"/>
      <w:r w:rsidR="006C1521"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w:t>
      </w:r>
      <w:proofErr w:type="gramEnd"/>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Ser ciudadano duranguense por nacimiento, con residencia efectiva de tres años al día de la elección, o ciudadano duranguense con residencia efectiva dentro del territorio del Estado que no sea </w:t>
      </w:r>
      <w:r w:rsidRPr="002D04BA">
        <w:rPr>
          <w:rFonts w:ascii="Arial" w:hAnsi="Arial" w:cs="Arial"/>
          <w:sz w:val="22"/>
          <w:szCs w:val="22"/>
        </w:rPr>
        <w:lastRenderedPageBreak/>
        <w:t>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lastRenderedPageBreak/>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3" w:name="_Hlk62733285"/>
      <w:r>
        <w:rPr>
          <w:rFonts w:asciiTheme="minorHAnsi" w:hAnsiTheme="minorHAnsi" w:cstheme="minorHAnsi"/>
          <w:bCs/>
          <w:color w:val="0070C0"/>
          <w:sz w:val="16"/>
          <w:szCs w:val="16"/>
        </w:rPr>
        <w:t>ADICIONADO POR DEC. 287 P.O. 43 DEL 28 DE MAYO DE 2020.</w:t>
      </w:r>
      <w:bookmarkEnd w:id="3"/>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lastRenderedPageBreak/>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 xml:space="preserve">En los términos que establezca la Ley, fiscalizará en coordinación con la Auditoría Superior de la Federación, las participaciones federales. Asimismo, fiscalizará los recursos estatales y municipales y </w:t>
      </w:r>
      <w:r w:rsidR="007A1F5A" w:rsidRPr="007A1F5A">
        <w:rPr>
          <w:rFonts w:ascii="Arial" w:hAnsi="Arial" w:cs="Arial"/>
          <w:sz w:val="22"/>
          <w:szCs w:val="22"/>
          <w:lang w:val="es-ES"/>
        </w:rPr>
        <w:lastRenderedPageBreak/>
        <w:t>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EEBD07E"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Consejero o Comisionado de un órgano constitucional autónomo, Magistrado o Consejero del Poder Judicial, Auditor Superior del </w:t>
      </w:r>
      <w:r w:rsidR="00213429" w:rsidRPr="002D04BA">
        <w:rPr>
          <w:rFonts w:ascii="Arial" w:hAnsi="Arial" w:cs="Arial"/>
          <w:sz w:val="22"/>
          <w:szCs w:val="22"/>
        </w:rPr>
        <w:t>Estado, Presidente</w:t>
      </w:r>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011408">
        <w:rPr>
          <w:rFonts w:asciiTheme="minorHAnsi" w:hAnsiTheme="minorHAnsi" w:cs="Arial"/>
          <w:iCs/>
          <w:color w:val="0070C0"/>
          <w:sz w:val="16"/>
          <w:szCs w:val="16"/>
        </w:rPr>
        <w:t>PÁRRAFO</w:t>
      </w:r>
      <w:r w:rsidR="00236966" w:rsidRPr="00011408">
        <w:rPr>
          <w:rFonts w:asciiTheme="minorHAnsi" w:hAnsiTheme="minorHAnsi" w:cs="Arial"/>
          <w:iCs/>
          <w:color w:val="0070C0"/>
          <w:sz w:val="16"/>
          <w:szCs w:val="16"/>
        </w:rPr>
        <w:t xml:space="preserve"> REFORMADO POR DEC. 128</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P. O. 19</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011408" w:rsidRDefault="007A1F5A" w:rsidP="007A1F5A">
      <w:pPr>
        <w:jc w:val="right"/>
        <w:rPr>
          <w:rFonts w:asciiTheme="minorHAnsi" w:hAnsiTheme="minorHAnsi" w:cs="Arial"/>
          <w:color w:val="0070C0"/>
          <w:sz w:val="16"/>
          <w:szCs w:val="16"/>
        </w:rPr>
      </w:pPr>
      <w:r w:rsidRPr="00011408">
        <w:rPr>
          <w:rFonts w:asciiTheme="minorHAnsi" w:hAnsiTheme="minorHAnsi" w:cs="Arial"/>
          <w:color w:val="0070C0"/>
          <w:sz w:val="16"/>
          <w:szCs w:val="16"/>
        </w:rPr>
        <w:t>REFORMADO POR DEC. 119 P.O. 22 DEL 16 DE MARZO DE 2017.</w:t>
      </w:r>
    </w:p>
    <w:p w14:paraId="74ECB224" w14:textId="06F9852B" w:rsidR="00011408" w:rsidRPr="00011408" w:rsidRDefault="00011408" w:rsidP="007A1F5A">
      <w:pPr>
        <w:jc w:val="right"/>
        <w:rPr>
          <w:rFonts w:asciiTheme="minorHAnsi" w:hAnsiTheme="minorHAnsi" w:cs="Arial"/>
          <w:color w:val="0070C0"/>
          <w:sz w:val="16"/>
          <w:szCs w:val="16"/>
        </w:rPr>
      </w:pPr>
      <w:r>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w:t>
      </w:r>
      <w:r w:rsidRPr="002D04BA">
        <w:rPr>
          <w:rFonts w:ascii="Arial" w:hAnsi="Arial" w:cs="Arial"/>
          <w:sz w:val="22"/>
          <w:szCs w:val="22"/>
        </w:rPr>
        <w:lastRenderedPageBreak/>
        <w:t>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Para el efecto de tener integrado el Pleno 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w:t>
      </w:r>
      <w:r w:rsidR="00B0649D" w:rsidRPr="002D04BA">
        <w:rPr>
          <w:rFonts w:ascii="Arial" w:hAnsi="Arial" w:cs="Arial"/>
          <w:color w:val="000000" w:themeColor="text1"/>
          <w:sz w:val="22"/>
          <w:szCs w:val="22"/>
        </w:rPr>
        <w:lastRenderedPageBreak/>
        <w:t>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lastRenderedPageBreak/>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lastRenderedPageBreak/>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proofErr w:type="gramStart"/>
      <w:r w:rsidR="0072763A" w:rsidRPr="002D04BA">
        <w:rPr>
          <w:rFonts w:ascii="Arial" w:hAnsi="Arial" w:cs="Arial"/>
          <w:sz w:val="22"/>
          <w:szCs w:val="22"/>
        </w:rPr>
        <w:t>delitos cometidas</w:t>
      </w:r>
      <w:proofErr w:type="gramEnd"/>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7777777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14:paraId="7599733E" w14:textId="77777777"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proofErr w:type="gramStart"/>
      <w:r w:rsidR="000F50E7" w:rsidRPr="002D04BA">
        <w:rPr>
          <w:rFonts w:ascii="Arial" w:hAnsi="Arial" w:cs="Arial"/>
          <w:sz w:val="22"/>
          <w:szCs w:val="22"/>
        </w:rPr>
        <w:t>el  órgano</w:t>
      </w:r>
      <w:proofErr w:type="gramEnd"/>
      <w:r w:rsidR="000F50E7" w:rsidRPr="002D04BA">
        <w:rPr>
          <w:rFonts w:ascii="Arial" w:hAnsi="Arial" w:cs="Arial"/>
          <w:sz w:val="22"/>
          <w:szCs w:val="22"/>
        </w:rPr>
        <w:t xml:space="preserve">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lastRenderedPageBreak/>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lastRenderedPageBreak/>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 xml:space="preserve">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w:t>
      </w:r>
      <w:r w:rsidR="0072763A" w:rsidRPr="002D04BA">
        <w:rPr>
          <w:rFonts w:ascii="Arial" w:hAnsi="Arial" w:cs="Arial"/>
          <w:sz w:val="22"/>
          <w:szCs w:val="22"/>
        </w:rPr>
        <w:lastRenderedPageBreak/>
        <w:t>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w:t>
      </w:r>
      <w:r w:rsidR="00FF315D" w:rsidRPr="00FF315D">
        <w:rPr>
          <w:rFonts w:ascii="Arial" w:hAnsi="Arial" w:cs="Arial"/>
          <w:sz w:val="22"/>
          <w:szCs w:val="22"/>
          <w:lang w:val="es-ES"/>
        </w:rPr>
        <w:lastRenderedPageBreak/>
        <w:t>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lastRenderedPageBreak/>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lastRenderedPageBreak/>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 xml:space="preserve">Los poderes públicos del Estado, los órganos constitucionales autónomos y los ayuntamientos tienen obligación de rendir anualmente Cuenta Pública ante el Congreso del Estado, </w:t>
      </w:r>
      <w:r w:rsidR="0072763A" w:rsidRPr="002D04BA">
        <w:rPr>
          <w:color w:val="auto"/>
          <w:sz w:val="22"/>
          <w:szCs w:val="22"/>
        </w:rPr>
        <w:lastRenderedPageBreak/>
        <w:t>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5DF91E23" w14:textId="77777777" w:rsidR="00011408" w:rsidRPr="002D04BA" w:rsidRDefault="00011408"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w:t>
      </w:r>
      <w:r w:rsidRPr="002E2EDC">
        <w:rPr>
          <w:rFonts w:ascii="Arial" w:hAnsi="Arial" w:cs="Arial"/>
          <w:sz w:val="22"/>
          <w:szCs w:val="22"/>
          <w:shd w:val="clear" w:color="auto" w:fill="FFFFFF"/>
          <w:lang w:val="es-MX" w:eastAsia="es-MX"/>
        </w:rPr>
        <w:lastRenderedPageBreak/>
        <w:t>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357D7510" w14:textId="35AAD50B"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CA38C8" w:rsidRPr="00CA38C8">
        <w:rPr>
          <w:rFonts w:ascii="Arial" w:hAnsi="Arial" w:cs="Arial"/>
          <w:bCs/>
          <w:sz w:val="22"/>
          <w:szCs w:val="22"/>
          <w:lang w:val="es-ES"/>
        </w:rPr>
        <w:t xml:space="preserve">Para proceder penalmente contra el Gobernador del Estado, las y los diputados, las y los magistrados del Poder Judicial, las y los consejeros del Consejo de la Judicatura, las y los jueces de Primera Instancia, las y los jueces del Tribunal para Menores Infractores, las y los secretarios de Despacho, el o la Fiscal General del Estado y las y los presidentes municipales, el Congreso del Estado declarará por mayoría absoluta de los integrantes de la Legislatura si </w:t>
      </w:r>
      <w:proofErr w:type="spellStart"/>
      <w:r w:rsidR="00CA38C8" w:rsidRPr="00CA38C8">
        <w:rPr>
          <w:rFonts w:ascii="Arial" w:hAnsi="Arial" w:cs="Arial"/>
          <w:bCs/>
          <w:sz w:val="22"/>
          <w:szCs w:val="22"/>
          <w:lang w:val="es-ES"/>
        </w:rPr>
        <w:t>ha</w:t>
      </w:r>
      <w:proofErr w:type="spellEnd"/>
      <w:r w:rsidR="00CA38C8" w:rsidRPr="00CA38C8">
        <w:rPr>
          <w:rFonts w:ascii="Arial" w:hAnsi="Arial" w:cs="Arial"/>
          <w:bCs/>
          <w:sz w:val="22"/>
          <w:szCs w:val="22"/>
          <w:lang w:val="es-ES"/>
        </w:rPr>
        <w:t xml:space="preserve">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lastRenderedPageBreak/>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4" w:name="_Hlk80274096"/>
      <w:r>
        <w:rPr>
          <w:rFonts w:asciiTheme="minorHAnsi" w:hAnsiTheme="minorHAnsi" w:cstheme="minorHAnsi"/>
          <w:bCs/>
          <w:color w:val="0070C0"/>
          <w:sz w:val="16"/>
          <w:szCs w:val="16"/>
        </w:rPr>
        <w:t>REFORMADO POR DEC. 482, P.O. 56 DEL 15 DE JULIO DE 2021.</w:t>
      </w:r>
      <w:bookmarkEnd w:id="4"/>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w:t>
      </w:r>
      <w:r w:rsidR="0072763A" w:rsidRPr="002D04BA">
        <w:rPr>
          <w:rFonts w:ascii="Arial" w:hAnsi="Arial" w:cs="Arial"/>
          <w:bCs/>
          <w:sz w:val="22"/>
          <w:szCs w:val="22"/>
        </w:rPr>
        <w:lastRenderedPageBreak/>
        <w:t xml:space="preserve">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w:t>
      </w:r>
      <w:r w:rsidRPr="00CC71FF">
        <w:rPr>
          <w:rFonts w:ascii="Arial" w:hAnsi="Arial" w:cs="Arial"/>
          <w:szCs w:val="22"/>
        </w:rPr>
        <w:lastRenderedPageBreak/>
        <w:t xml:space="preserve">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lastRenderedPageBreak/>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lastRenderedPageBreak/>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lastRenderedPageBreak/>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lastRenderedPageBreak/>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 xml:space="preserve">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w:t>
      </w:r>
      <w:r w:rsidRPr="00605FB4">
        <w:rPr>
          <w:rFonts w:ascii="Arial" w:eastAsia="Calibri" w:hAnsi="Arial" w:cs="Arial"/>
          <w:color w:val="000000"/>
          <w:lang w:val="es-MX" w:eastAsia="es-MX"/>
        </w:rPr>
        <w:lastRenderedPageBreak/>
        <w:t>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lastRenderedPageBreak/>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lastRenderedPageBreak/>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lastRenderedPageBreak/>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lastRenderedPageBreak/>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lastRenderedPageBreak/>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lastRenderedPageBreak/>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50871CB" w:rsidR="004268C2" w:rsidRPr="004268C2" w:rsidRDefault="004268C2" w:rsidP="004268C2">
      <w:pPr>
        <w:jc w:val="both"/>
        <w:rPr>
          <w:rFonts w:ascii="Arial" w:hAnsi="Arial" w:cs="Arial"/>
          <w:lang w:val="es-ES"/>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sectPr w:rsidR="004268C2" w:rsidRPr="004268C2"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8857CC" w14:textId="77777777" w:rsidR="00D165B2" w:rsidRDefault="00D165B2" w:rsidP="00FA3700">
      <w:r>
        <w:separator/>
      </w:r>
    </w:p>
  </w:endnote>
  <w:endnote w:type="continuationSeparator" w:id="0">
    <w:p w14:paraId="27D34FF9" w14:textId="77777777" w:rsidR="00D165B2" w:rsidRDefault="00D165B2"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A7200" w14:textId="77777777" w:rsidR="00D165B2" w:rsidRDefault="00D165B2" w:rsidP="00FA3700">
      <w:r>
        <w:separator/>
      </w:r>
    </w:p>
  </w:footnote>
  <w:footnote w:type="continuationSeparator" w:id="0">
    <w:p w14:paraId="12F6AA5A" w14:textId="77777777" w:rsidR="00D165B2" w:rsidRDefault="00D165B2"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688CB5E7" w:rsidR="00EC60C2" w:rsidRPr="00DE2DDE" w:rsidRDefault="00EC60C2" w:rsidP="00DE2DDE">
          <w:pPr>
            <w:pStyle w:val="Ttulo2"/>
            <w:outlineLvl w:val="1"/>
          </w:pPr>
          <w:r>
            <w:t xml:space="preserve">DEC. </w:t>
          </w:r>
          <w:r w:rsidR="00CA38C8">
            <w:t>48</w:t>
          </w:r>
          <w:r w:rsidR="004268C2">
            <w:t>3</w:t>
          </w:r>
          <w:r>
            <w:t xml:space="preserve"> P.O. </w:t>
          </w:r>
          <w:r w:rsidR="003807A1">
            <w:t>56</w:t>
          </w:r>
          <w:r>
            <w:t xml:space="preserve"> DEL </w:t>
          </w:r>
          <w:r w:rsidR="003807A1">
            <w:t>15</w:t>
          </w:r>
          <w:r>
            <w:t xml:space="preserve"> DE </w:t>
          </w:r>
          <w:r w:rsidR="003807A1">
            <w:t>JULIO</w:t>
          </w:r>
          <w:r w:rsidRPr="00DE2DDE">
            <w:t xml:space="preserve"> DE 20</w:t>
          </w:r>
          <w:r>
            <w:t>2</w:t>
          </w:r>
          <w:r w:rsidR="003807A1">
            <w:t>1</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0F66FB"/>
    <w:rsid w:val="001046A4"/>
    <w:rsid w:val="001109C6"/>
    <w:rsid w:val="00111E38"/>
    <w:rsid w:val="00121AC8"/>
    <w:rsid w:val="001228CC"/>
    <w:rsid w:val="00130E59"/>
    <w:rsid w:val="001357DF"/>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13429"/>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3121C"/>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24F3A"/>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8C8"/>
    <w:rsid w:val="00CA3D13"/>
    <w:rsid w:val="00CA41F6"/>
    <w:rsid w:val="00CA42E7"/>
    <w:rsid w:val="00CC16EE"/>
    <w:rsid w:val="00CC586D"/>
    <w:rsid w:val="00CC71FF"/>
    <w:rsid w:val="00CD1674"/>
    <w:rsid w:val="00CD70AB"/>
    <w:rsid w:val="00CE0725"/>
    <w:rsid w:val="00CE5BFC"/>
    <w:rsid w:val="00CF0152"/>
    <w:rsid w:val="00CF5287"/>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352E"/>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93</Pages>
  <Words>36485</Words>
  <Characters>200671</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4</cp:revision>
  <cp:lastPrinted>2013-09-23T15:31:00Z</cp:lastPrinted>
  <dcterms:created xsi:type="dcterms:W3CDTF">2021-08-19T19:05:00Z</dcterms:created>
  <dcterms:modified xsi:type="dcterms:W3CDTF">2021-10-20T14:44:00Z</dcterms:modified>
</cp:coreProperties>
</file>