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si,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Las personas que se resistan a acatar las órdenes judiciales de descuento, o auxilien al obligado a ocultar o disimular sus bienes, o a eludir el cumplimiento de las obligaciones alimentarias, son </w:t>
      </w:r>
      <w:r w:rsidRPr="00A5492C">
        <w:rPr>
          <w:rFonts w:ascii="Arial" w:hAnsi="Arial" w:cs="Arial"/>
          <w:b w:val="0"/>
          <w:bCs/>
          <w:sz w:val="22"/>
          <w:szCs w:val="22"/>
        </w:rPr>
        <w:lastRenderedPageBreak/>
        <w:t>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facultad de corregir no implica infligir al menor actos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El tutor del incapacitado que tenga hijos menores bajo su patria potestad, será también tutor de ellos, si no hay otro ascendientes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 xml:space="preserve">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w:t>
      </w:r>
      <w:r w:rsidRPr="00A5492C">
        <w:rPr>
          <w:rFonts w:ascii="Arial" w:hAnsi="Arial" w:cs="Arial"/>
          <w:sz w:val="22"/>
          <w:szCs w:val="22"/>
        </w:rPr>
        <w:lastRenderedPageBreak/>
        <w:t>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 xml:space="preserve">Si las rentas de la persona sujeta a tutela no alcanzan a cubrir los gastos de su alimentación, educación y asistencia, el Juez decidirá si ha de ponérsele a aprender un oficio o </w:t>
      </w:r>
      <w:r w:rsidRPr="00A5492C">
        <w:rPr>
          <w:rFonts w:ascii="Arial" w:hAnsi="Arial" w:cs="Arial"/>
          <w:bCs/>
          <w:sz w:val="22"/>
          <w:szCs w:val="22"/>
        </w:rPr>
        <w:lastRenderedPageBreak/>
        <w:t>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 xml:space="preserve">Si la tutela hubiere fenecido durante la minoridad, el menor podrá ejercitar las acciones correspondientes contra el primer tutor y los que le hubieren sucedido en el cargo, computándose </w:t>
      </w:r>
      <w:r w:rsidRPr="00A5492C">
        <w:rPr>
          <w:rFonts w:ascii="Arial" w:hAnsi="Arial" w:cs="Arial"/>
          <w:sz w:val="22"/>
          <w:szCs w:val="22"/>
        </w:rPr>
        <w:lastRenderedPageBreak/>
        <w:t>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w:t>
      </w:r>
      <w:r w:rsidRPr="00173432">
        <w:rPr>
          <w:rFonts w:ascii="Arial" w:hAnsi="Arial" w:cs="Arial"/>
          <w:sz w:val="22"/>
          <w:szCs w:val="22"/>
        </w:rPr>
        <w:lastRenderedPageBreak/>
        <w:t>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 xml:space="preserve">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w:t>
      </w:r>
      <w:r w:rsidR="00716128" w:rsidRPr="00716128">
        <w:rPr>
          <w:rFonts w:ascii="Arial" w:hAnsi="Arial" w:cs="Arial"/>
          <w:sz w:val="22"/>
          <w:szCs w:val="22"/>
        </w:rPr>
        <w:lastRenderedPageBreak/>
        <w:t>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 xml:space="preserve">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w:t>
      </w:r>
      <w:r w:rsidRPr="007A1D28">
        <w:rPr>
          <w:rFonts w:ascii="Arial" w:hAnsi="Arial" w:cs="Arial"/>
          <w:sz w:val="22"/>
          <w:szCs w:val="22"/>
        </w:rPr>
        <w:lastRenderedPageBreak/>
        <w:t>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 xml:space="preserve">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w:t>
      </w:r>
      <w:r w:rsidRPr="007A1D28">
        <w:rPr>
          <w:rFonts w:ascii="Arial" w:hAnsi="Arial" w:cs="Arial"/>
          <w:sz w:val="22"/>
          <w:szCs w:val="22"/>
        </w:rPr>
        <w:lastRenderedPageBreak/>
        <w:t>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 xml:space="preserve">Cada propietario de una pared común podrá usar de ella en proporción al derecho que tenga en la comunidad; podrá, por lo tanto, edificar, apoyando su obra en la pared común o </w:t>
      </w:r>
      <w:r w:rsidRPr="00AE3149">
        <w:rPr>
          <w:rFonts w:ascii="Arial" w:hAnsi="Arial" w:cs="Arial"/>
          <w:sz w:val="22"/>
          <w:szCs w:val="22"/>
        </w:rPr>
        <w:lastRenderedPageBreak/>
        <w:t>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lastRenderedPageBreak/>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w:t>
      </w:r>
      <w:r w:rsidRPr="00AE3149">
        <w:rPr>
          <w:rFonts w:ascii="Arial" w:hAnsi="Arial" w:cs="Arial"/>
          <w:sz w:val="22"/>
          <w:szCs w:val="22"/>
        </w:rPr>
        <w:lastRenderedPageBreak/>
        <w:t>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w:t>
      </w:r>
      <w:r w:rsidRPr="00AE3149">
        <w:rPr>
          <w:rFonts w:ascii="Arial" w:hAnsi="Arial" w:cs="Arial"/>
          <w:sz w:val="22"/>
          <w:szCs w:val="22"/>
        </w:rPr>
        <w:lastRenderedPageBreak/>
        <w:t>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0" w:name="_Hlk37757957"/>
      <w:r>
        <w:rPr>
          <w:rFonts w:ascii="Arial" w:eastAsia="Arial Unicode MS" w:hAnsi="Arial" w:cs="Arial"/>
          <w:b/>
          <w:lang w:eastAsia="es-MX"/>
        </w:rPr>
        <w:t>DECRETO 271, LXVIII LEGISLATURA, PERIODICO OFICIAL No. 23 E FECHA 19 DE MARZO DE 2020.</w:t>
      </w:r>
      <w:bookmarkEnd w:id="0"/>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w:t>
      </w:r>
      <w:r>
        <w:rPr>
          <w:rFonts w:ascii="Arial" w:eastAsia="Arial Unicode MS" w:hAnsi="Arial" w:cs="Arial"/>
          <w:b/>
          <w:lang w:eastAsia="es-MX"/>
        </w:rPr>
        <w:t>4</w:t>
      </w:r>
      <w:r>
        <w:rPr>
          <w:rFonts w:ascii="Arial" w:eastAsia="Arial Unicode MS" w:hAnsi="Arial" w:cs="Arial"/>
          <w:b/>
          <w:lang w:eastAsia="es-MX"/>
        </w:rPr>
        <w:t>,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w:t>
      </w:r>
      <w:r w:rsidRPr="00B70805">
        <w:rPr>
          <w:rFonts w:ascii="Arial" w:eastAsia="Arial Unicode MS" w:hAnsi="Arial" w:cs="Arial"/>
          <w:b/>
          <w:lang w:eastAsia="es-MX"/>
        </w:rPr>
        <w:t>ÚNICO. -</w:t>
      </w:r>
      <w:r w:rsidRPr="00B70805">
        <w:rPr>
          <w:rFonts w:ascii="Arial" w:eastAsia="Arial Unicode MS" w:hAnsi="Arial" w:cs="Arial"/>
          <w:b/>
          <w:lang w:eastAsia="es-MX"/>
        </w:rPr>
        <w:t xml:space="preserve">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Pr="00B70805" w:rsidRDefault="00B70805" w:rsidP="00B70805">
      <w:pPr>
        <w:jc w:val="both"/>
        <w:rPr>
          <w:rFonts w:ascii="Arial" w:eastAsia="Arial Unicode MS" w:hAnsi="Arial" w:cs="Arial"/>
          <w:bCs/>
          <w:lang w:eastAsia="es-MX"/>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bookmarkStart w:id="1" w:name="_GoBack"/>
      <w:bookmarkEnd w:id="1"/>
    </w:p>
    <w:sectPr w:rsidR="00B70805" w:rsidRPr="00B7080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3C7" w:rsidRDefault="006C63C7" w:rsidP="00FA3700">
      <w:r>
        <w:separator/>
      </w:r>
    </w:p>
  </w:endnote>
  <w:endnote w:type="continuationSeparator" w:id="0">
    <w:p w:rsidR="006C63C7" w:rsidRDefault="006C63C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1C47C5" w:rsidRDefault="001C47C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7510F" w:rsidRDefault="00F751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3C7" w:rsidRDefault="006C63C7" w:rsidP="00FA3700">
      <w:r>
        <w:separator/>
      </w:r>
    </w:p>
  </w:footnote>
  <w:footnote w:type="continuationSeparator" w:id="0">
    <w:p w:rsidR="006C63C7" w:rsidRDefault="006C63C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Default="00F7510F" w:rsidP="00FA3700">
                <w:pPr>
                  <w:pStyle w:val="Encabezado"/>
                  <w:jc w:val="center"/>
                  <w:rPr>
                    <w:rFonts w:ascii="Arial" w:hAnsi="Arial" w:cs="Arial"/>
                    <w:b/>
                    <w:i/>
                    <w:sz w:val="18"/>
                    <w:szCs w:val="18"/>
                  </w:rPr>
                </w:pPr>
              </w:p>
              <w:p w:rsidR="001C47C5" w:rsidRPr="004D28F6" w:rsidRDefault="001C47C5"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1C47C5">
                  <w:rPr>
                    <w:rFonts w:asciiTheme="minorHAnsi" w:eastAsiaTheme="minorHAnsi" w:hAnsiTheme="minorHAnsi" w:cs="Arial"/>
                    <w:i/>
                    <w:color w:val="000000" w:themeColor="text1"/>
                    <w:sz w:val="14"/>
                    <w:szCs w:val="16"/>
                  </w:rPr>
                  <w:t xml:space="preserve">. </w:t>
                </w:r>
                <w:r w:rsidR="00B70805">
                  <w:rPr>
                    <w:rFonts w:asciiTheme="minorHAnsi" w:eastAsiaTheme="minorHAnsi" w:hAnsiTheme="minorHAnsi" w:cs="Arial"/>
                    <w:i/>
                    <w:color w:val="000000" w:themeColor="text1"/>
                    <w:sz w:val="14"/>
                    <w:szCs w:val="16"/>
                  </w:rPr>
                  <w:t>274 P.O.</w:t>
                </w:r>
                <w:r>
                  <w:rPr>
                    <w:rFonts w:asciiTheme="minorHAnsi" w:eastAsiaTheme="minorHAnsi" w:hAnsiTheme="minorHAnsi" w:cs="Arial"/>
                    <w:i/>
                    <w:color w:val="000000" w:themeColor="text1"/>
                    <w:sz w:val="14"/>
                    <w:szCs w:val="16"/>
                  </w:rPr>
                  <w:t xml:space="preserve"> </w:t>
                </w:r>
                <w:r w:rsidR="0008418E">
                  <w:rPr>
                    <w:rFonts w:asciiTheme="minorHAnsi" w:eastAsiaTheme="minorHAnsi" w:hAnsiTheme="minorHAnsi" w:cs="Arial"/>
                    <w:i/>
                    <w:color w:val="000000" w:themeColor="text1"/>
                    <w:sz w:val="14"/>
                    <w:szCs w:val="16"/>
                  </w:rPr>
                  <w:t>23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1C47C5">
                  <w:rPr>
                    <w:rFonts w:asciiTheme="minorHAnsi" w:eastAsiaTheme="minorHAnsi" w:hAnsiTheme="minorHAnsi" w:cs="Arial"/>
                    <w:i/>
                    <w:color w:val="000000" w:themeColor="text1"/>
                    <w:sz w:val="14"/>
                    <w:szCs w:val="16"/>
                  </w:rPr>
                  <w:t>1</w:t>
                </w:r>
                <w:r w:rsidR="0008418E">
                  <w:rPr>
                    <w:rFonts w:asciiTheme="minorHAnsi" w:eastAsiaTheme="minorHAnsi" w:hAnsiTheme="minorHAnsi" w:cs="Arial"/>
                    <w:i/>
                    <w:color w:val="000000" w:themeColor="text1"/>
                    <w:sz w:val="14"/>
                    <w:szCs w:val="16"/>
                  </w:rPr>
                  <w:t>9</w:t>
                </w:r>
                <w:r w:rsidR="001C47C5">
                  <w:rPr>
                    <w:rFonts w:asciiTheme="minorHAnsi" w:eastAsiaTheme="minorHAnsi" w:hAnsiTheme="minorHAnsi" w:cs="Arial"/>
                    <w:i/>
                    <w:color w:val="000000" w:themeColor="text1"/>
                    <w:sz w:val="14"/>
                    <w:szCs w:val="16"/>
                  </w:rPr>
                  <w:t xml:space="preserve"> DE </w:t>
                </w:r>
                <w:r w:rsidR="0008418E">
                  <w:rPr>
                    <w:rFonts w:asciiTheme="minorHAnsi" w:eastAsiaTheme="minorHAnsi" w:hAnsiTheme="minorHAnsi" w:cs="Arial"/>
                    <w:i/>
                    <w:color w:val="000000" w:themeColor="text1"/>
                    <w:sz w:val="14"/>
                    <w:szCs w:val="16"/>
                  </w:rPr>
                  <w:t>MARZO</w:t>
                </w:r>
                <w:r w:rsidR="001C47C5">
                  <w:rPr>
                    <w:rFonts w:asciiTheme="minorHAnsi" w:eastAsiaTheme="minorHAnsi" w:hAnsiTheme="minorHAnsi" w:cs="Arial"/>
                    <w:i/>
                    <w:color w:val="000000" w:themeColor="text1"/>
                    <w:sz w:val="14"/>
                    <w:szCs w:val="16"/>
                  </w:rPr>
                  <w:t xml:space="preserve"> DE 20</w:t>
                </w:r>
                <w:r w:rsidR="0008418E">
                  <w:rPr>
                    <w:rFonts w:asciiTheme="minorHAnsi" w:eastAsiaTheme="minorHAnsi" w:hAnsiTheme="minorHAnsi" w:cs="Arial"/>
                    <w:i/>
                    <w:color w:val="000000" w:themeColor="text1"/>
                    <w:sz w:val="14"/>
                    <w:szCs w:val="16"/>
                  </w:rPr>
                  <w:t>20</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F0874"/>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4F8A-9648-4D8D-BBFD-18FF21C3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375</Pages>
  <Words>133575</Words>
  <Characters>734663</Characters>
  <Application>Microsoft Office Word</Application>
  <DocSecurity>0</DocSecurity>
  <Lines>6122</Lines>
  <Paragraphs>1733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2020-04-14T16:54:00Z</dcterms:created>
  <dcterms:modified xsi:type="dcterms:W3CDTF">2020-04-14T17:01:00Z</dcterms:modified>
</cp:coreProperties>
</file>