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la persona ó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Nota permenorizada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lastRenderedPageBreak/>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lastRenderedPageBreak/>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lastRenderedPageBreak/>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 xml:space="preserve">La línea recta es ascendente o descendente: ascendente es la que liga a una persona con su progenitor o tronco de que procede; descendente es la liga al progenitor con los que de él </w:t>
      </w:r>
      <w:r w:rsidRPr="00A5492C">
        <w:rPr>
          <w:rFonts w:ascii="Arial" w:hAnsi="Arial" w:cs="Arial"/>
          <w:sz w:val="22"/>
          <w:szCs w:val="22"/>
        </w:rPr>
        <w:lastRenderedPageBreak/>
        <w:t>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si,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C3245D" w:rsidRPr="00C3245D">
        <w:rPr>
          <w:rFonts w:ascii="Arial" w:hAnsi="Arial" w:cs="Arial"/>
          <w:sz w:val="22"/>
          <w:szCs w:val="22"/>
        </w:rPr>
        <w:t>Cuando el alimentista deja de necesitar los alimentos;</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w:t>
      </w:r>
      <w:r w:rsidRPr="00A5492C">
        <w:rPr>
          <w:rFonts w:ascii="Arial" w:hAnsi="Arial" w:cs="Arial"/>
          <w:bCs/>
          <w:sz w:val="22"/>
          <w:szCs w:val="22"/>
          <w:lang w:val="es-MX"/>
        </w:rPr>
        <w:lastRenderedPageBreak/>
        <w:t>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w:t>
      </w:r>
      <w:r w:rsidRPr="00A5492C">
        <w:rPr>
          <w:rFonts w:ascii="Arial" w:hAnsi="Arial" w:cs="Arial"/>
          <w:bCs/>
          <w:sz w:val="22"/>
          <w:szCs w:val="22"/>
        </w:rPr>
        <w:lastRenderedPageBreak/>
        <w:t xml:space="preserve">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lastRenderedPageBreak/>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facultad de corregir no implica infligir al menor actos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486</w:t>
      </w:r>
      <w:r w:rsidR="000A528B">
        <w:rPr>
          <w:rFonts w:ascii="Arial" w:hAnsi="Arial" w:cs="Arial"/>
          <w:b/>
          <w:sz w:val="22"/>
          <w:szCs w:val="22"/>
        </w:rPr>
        <w:t xml:space="preserve">. </w:t>
      </w:r>
      <w:r w:rsidRPr="00A5492C">
        <w:rPr>
          <w:rFonts w:ascii="Arial" w:hAnsi="Arial" w:cs="Arial"/>
          <w:sz w:val="22"/>
          <w:szCs w:val="22"/>
        </w:rPr>
        <w:t>El tutor del incapacitado que tenga hijos menores bajo su patria potestad, será también tutor de ellos, si no hay otro ascendientes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lastRenderedPageBreak/>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sentencia que cause ejecutoria, la entrega de los bienes se hará a éstos en los mismos términos en que, según los artículos 691 y 702 debiera hacerse al auesnte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Pr="00AE3149">
        <w:rPr>
          <w:rFonts w:ascii="Arial" w:hAnsi="Arial" w:cs="Arial"/>
          <w:sz w:val="22"/>
          <w:szCs w:val="22"/>
        </w:rPr>
        <w:t>Constituído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 xml:space="preserve">El que sin consentimiento del dueño hiciere en terreno ajeno obras para descubrir un tesoro, estará obligado en todo caso a pagar los daños y perjuicios y, además, a costear la reposición </w:t>
      </w:r>
      <w:r w:rsidRPr="00FB3828">
        <w:rPr>
          <w:rFonts w:ascii="Arial" w:hAnsi="Arial" w:cs="Arial"/>
          <w:sz w:val="22"/>
          <w:szCs w:val="22"/>
        </w:rPr>
        <w:lastRenderedPageBreak/>
        <w:t>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 xml:space="preserve">Los cauces abandonados por corriente de agua que no sean de la Federación, pertenecen a los dueños de los terrenos por donde corren esas aguas. Si la corriente era limítrofe de varios predios, el cauce abandonado pertenece a los propietarios de ambas riberas proporcionalmente </w:t>
      </w:r>
      <w:r w:rsidRPr="007A1D28">
        <w:rPr>
          <w:rFonts w:ascii="Arial" w:hAnsi="Arial" w:cs="Arial"/>
          <w:sz w:val="22"/>
          <w:szCs w:val="22"/>
        </w:rPr>
        <w:lastRenderedPageBreak/>
        <w:t>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Cuando los diferentes departamentos, viviendas, casas ó locales de un inmueble, construidos en forma vertical, horizontal ó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 xml:space="preserve">El propietario de un edificio que se apoya en una pared común, puede al derribarlo renunciar o no a la copropiedad. En el primer caso serán de su cuenta todos los gastos necesarios para </w:t>
      </w:r>
      <w:r w:rsidRPr="00AE3149">
        <w:rPr>
          <w:rFonts w:ascii="Arial" w:hAnsi="Arial" w:cs="Arial"/>
          <w:sz w:val="22"/>
          <w:szCs w:val="22"/>
        </w:rPr>
        <w:lastRenderedPageBreak/>
        <w:t>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 xml:space="preserve">La disminución que por las propias causas se verifique, no en los frutos, sino en la misma finca o cosa usufructuada, será de cuenta del propietario; y si éste, para conservar íntegra la </w:t>
      </w:r>
      <w:r w:rsidRPr="00AE3149">
        <w:rPr>
          <w:rFonts w:ascii="Arial" w:hAnsi="Arial" w:cs="Arial"/>
          <w:sz w:val="22"/>
          <w:szCs w:val="22"/>
        </w:rPr>
        <w:lastRenderedPageBreak/>
        <w:t>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w:t>
      </w:r>
      <w:r w:rsidRPr="00AE3149">
        <w:rPr>
          <w:rFonts w:ascii="Arial" w:hAnsi="Arial" w:cs="Arial"/>
          <w:sz w:val="22"/>
          <w:szCs w:val="22"/>
        </w:rPr>
        <w:lastRenderedPageBreak/>
        <w:t xml:space="preserve">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pérdida fué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Entiéndese por casos fortuitos extraordinarios: incendio, guerra, peste, inundación insólita, langosta, terremoto u otro acontecimiento igualmente desacostumbrado y que los contratantes no hayan podido razonablemente preveer.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convniere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importe del capital social y la aportación con que cada socio debe contribuír.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Todo hecho o convenio entre las partes, que pueda modificar o destruír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descendientes de cuyos bienes fueron meros adminstradores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DIP. MARCO AURELIO ROSALES SARACCO, PRESIDENTE.- DIP. RENÉ CARREÓN GÓMEZ, SECRETARIO.- DIP. JULIO ALBERTO CASTAÑEDA CASTAÑEDA,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Pr>
          <w:rFonts w:ascii="Arial" w:eastAsia="Arial Unicode MS" w:hAnsi="Arial" w:cs="Arial"/>
          <w:b/>
          <w:lang w:eastAsia="es-MX"/>
        </w:rPr>
        <w:t>DECRETO 271, LXVIII LEGISLATURA, PERIODICO OFICIAL No. 23 E FECHA 19 DE MARZO DE 2020.</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r w:rsidRPr="0008418E">
        <w:rPr>
          <w:rFonts w:ascii="Arial" w:eastAsia="Arial Unicode MS" w:hAnsi="Arial" w:cs="Arial"/>
          <w:bCs/>
          <w:lang w:eastAsia="es-MX"/>
        </w:rPr>
        <w:t>.</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rsidR="0008418E" w:rsidRPr="0008418E" w:rsidRDefault="0008418E" w:rsidP="0008418E">
      <w:pPr>
        <w:jc w:val="both"/>
        <w:rPr>
          <w:rFonts w:ascii="Arial" w:hAnsi="Arial" w:cs="Arial"/>
        </w:rPr>
      </w:pPr>
    </w:p>
    <w:p w:rsidR="0008418E" w:rsidRPr="001C47C5" w:rsidRDefault="0008418E" w:rsidP="0008418E">
      <w:pPr>
        <w:jc w:val="both"/>
        <w:rPr>
          <w:rFonts w:ascii="Arial" w:eastAsia="Arial Unicode MS" w:hAnsi="Arial" w:cs="Arial"/>
          <w:b/>
          <w:lang w:eastAsia="es-MX"/>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bookmarkStart w:id="0" w:name="_GoBack"/>
      <w:bookmarkEnd w:id="0"/>
    </w:p>
    <w:sectPr w:rsidR="0008418E" w:rsidRPr="001C47C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494" w:rsidRDefault="00352494" w:rsidP="00FA3700">
      <w:r>
        <w:separator/>
      </w:r>
    </w:p>
  </w:endnote>
  <w:endnote w:type="continuationSeparator" w:id="0">
    <w:p w:rsidR="00352494" w:rsidRDefault="0035249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EndPr/>
    <w:sdtContent>
      <w:p w:rsidR="001C47C5" w:rsidRDefault="001C47C5">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F7510F" w:rsidRDefault="00F751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494" w:rsidRDefault="00352494" w:rsidP="00FA3700">
      <w:r>
        <w:separator/>
      </w:r>
    </w:p>
  </w:footnote>
  <w:footnote w:type="continuationSeparator" w:id="0">
    <w:p w:rsidR="00352494" w:rsidRDefault="00352494"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F7510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7510F" w:rsidTr="004D28F6">
            <w:trPr>
              <w:trHeight w:val="1402"/>
            </w:trPr>
            <w:tc>
              <w:tcPr>
                <w:tcW w:w="4570" w:type="dxa"/>
              </w:tcPr>
              <w:p w:rsidR="00F7510F" w:rsidRDefault="00F7510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7510F" w:rsidRDefault="00F7510F" w:rsidP="00F8571A">
                <w:pPr>
                  <w:pStyle w:val="Encabezado"/>
                  <w:tabs>
                    <w:tab w:val="clear" w:pos="4252"/>
                  </w:tabs>
                  <w:rPr>
                    <w:rFonts w:ascii="Candara" w:hAnsi="Candara" w:cs="Arial"/>
                    <w:b/>
                    <w:i/>
                    <w:sz w:val="18"/>
                    <w:szCs w:val="18"/>
                  </w:rPr>
                </w:pPr>
              </w:p>
              <w:p w:rsidR="00F7510F" w:rsidRPr="00A16A75" w:rsidRDefault="00F7510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7510F" w:rsidRPr="004D28F6" w:rsidRDefault="00F7510F" w:rsidP="00655FCC">
                <w:pPr>
                  <w:pStyle w:val="Encabezado"/>
                  <w:tabs>
                    <w:tab w:val="clear" w:pos="4252"/>
                  </w:tabs>
                  <w:rPr>
                    <w:rFonts w:ascii="Arial" w:hAnsi="Arial" w:cs="Arial"/>
                    <w:b/>
                    <w:i/>
                    <w:sz w:val="18"/>
                    <w:szCs w:val="18"/>
                  </w:rPr>
                </w:pPr>
              </w:p>
              <w:p w:rsidR="00F7510F" w:rsidRDefault="00F7510F" w:rsidP="00FA3700">
                <w:pPr>
                  <w:pStyle w:val="Encabezado"/>
                  <w:jc w:val="center"/>
                  <w:rPr>
                    <w:rFonts w:ascii="Arial" w:hAnsi="Arial" w:cs="Arial"/>
                    <w:b/>
                    <w:i/>
                    <w:sz w:val="18"/>
                    <w:szCs w:val="18"/>
                  </w:rPr>
                </w:pPr>
              </w:p>
              <w:p w:rsidR="001C47C5" w:rsidRPr="004D28F6" w:rsidRDefault="001C47C5" w:rsidP="00FA3700">
                <w:pPr>
                  <w:pStyle w:val="Encabezado"/>
                  <w:jc w:val="center"/>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7510F" w:rsidRPr="004D28F6" w:rsidRDefault="00F7510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7510F" w:rsidRPr="00B0106B" w:rsidRDefault="00F7510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1C47C5">
                  <w:rPr>
                    <w:rFonts w:asciiTheme="minorHAnsi" w:eastAsiaTheme="minorHAnsi" w:hAnsiTheme="minorHAnsi" w:cs="Arial"/>
                    <w:i/>
                    <w:color w:val="000000" w:themeColor="text1"/>
                    <w:sz w:val="14"/>
                    <w:szCs w:val="16"/>
                  </w:rPr>
                  <w:t xml:space="preserve">. </w:t>
                </w:r>
                <w:r w:rsidR="0008418E">
                  <w:rPr>
                    <w:rFonts w:asciiTheme="minorHAnsi" w:eastAsiaTheme="minorHAnsi" w:hAnsiTheme="minorHAnsi" w:cs="Arial"/>
                    <w:i/>
                    <w:color w:val="000000" w:themeColor="text1"/>
                    <w:sz w:val="14"/>
                    <w:szCs w:val="16"/>
                  </w:rPr>
                  <w:t>271</w:t>
                </w:r>
                <w:r w:rsidR="001C47C5">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 xml:space="preserve"> P.O. </w:t>
                </w:r>
                <w:r w:rsidR="0008418E">
                  <w:rPr>
                    <w:rFonts w:asciiTheme="minorHAnsi" w:eastAsiaTheme="minorHAnsi" w:hAnsiTheme="minorHAnsi" w:cs="Arial"/>
                    <w:i/>
                    <w:color w:val="000000" w:themeColor="text1"/>
                    <w:sz w:val="14"/>
                    <w:szCs w:val="16"/>
                  </w:rPr>
                  <w:t>23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1C47C5">
                  <w:rPr>
                    <w:rFonts w:asciiTheme="minorHAnsi" w:eastAsiaTheme="minorHAnsi" w:hAnsiTheme="minorHAnsi" w:cs="Arial"/>
                    <w:i/>
                    <w:color w:val="000000" w:themeColor="text1"/>
                    <w:sz w:val="14"/>
                    <w:szCs w:val="16"/>
                  </w:rPr>
                  <w:t>1</w:t>
                </w:r>
                <w:r w:rsidR="0008418E">
                  <w:rPr>
                    <w:rFonts w:asciiTheme="minorHAnsi" w:eastAsiaTheme="minorHAnsi" w:hAnsiTheme="minorHAnsi" w:cs="Arial"/>
                    <w:i/>
                    <w:color w:val="000000" w:themeColor="text1"/>
                    <w:sz w:val="14"/>
                    <w:szCs w:val="16"/>
                  </w:rPr>
                  <w:t>9</w:t>
                </w:r>
                <w:r w:rsidR="001C47C5">
                  <w:rPr>
                    <w:rFonts w:asciiTheme="minorHAnsi" w:eastAsiaTheme="minorHAnsi" w:hAnsiTheme="minorHAnsi" w:cs="Arial"/>
                    <w:i/>
                    <w:color w:val="000000" w:themeColor="text1"/>
                    <w:sz w:val="14"/>
                    <w:szCs w:val="16"/>
                  </w:rPr>
                  <w:t xml:space="preserve"> DE </w:t>
                </w:r>
                <w:r w:rsidR="0008418E">
                  <w:rPr>
                    <w:rFonts w:asciiTheme="minorHAnsi" w:eastAsiaTheme="minorHAnsi" w:hAnsiTheme="minorHAnsi" w:cs="Arial"/>
                    <w:i/>
                    <w:color w:val="000000" w:themeColor="text1"/>
                    <w:sz w:val="14"/>
                    <w:szCs w:val="16"/>
                  </w:rPr>
                  <w:t>MARZO</w:t>
                </w:r>
                <w:r w:rsidR="001C47C5">
                  <w:rPr>
                    <w:rFonts w:asciiTheme="minorHAnsi" w:eastAsiaTheme="minorHAnsi" w:hAnsiTheme="minorHAnsi" w:cs="Arial"/>
                    <w:i/>
                    <w:color w:val="000000" w:themeColor="text1"/>
                    <w:sz w:val="14"/>
                    <w:szCs w:val="16"/>
                  </w:rPr>
                  <w:t xml:space="preserve"> DE 20</w:t>
                </w:r>
                <w:r w:rsidR="0008418E">
                  <w:rPr>
                    <w:rFonts w:asciiTheme="minorHAnsi" w:eastAsiaTheme="minorHAnsi" w:hAnsiTheme="minorHAnsi" w:cs="Arial"/>
                    <w:i/>
                    <w:color w:val="000000" w:themeColor="text1"/>
                    <w:sz w:val="14"/>
                    <w:szCs w:val="16"/>
                  </w:rPr>
                  <w:t>20</w:t>
                </w:r>
                <w:r w:rsidRPr="004D28F6">
                  <w:rPr>
                    <w:rFonts w:asciiTheme="minorHAnsi" w:eastAsiaTheme="minorHAnsi" w:hAnsiTheme="minorHAnsi" w:cs="Arial"/>
                    <w:i/>
                    <w:color w:val="000000" w:themeColor="text1"/>
                    <w:sz w:val="14"/>
                    <w:szCs w:val="16"/>
                  </w:rPr>
                  <w:t>.</w:t>
                </w:r>
              </w:p>
            </w:tc>
          </w:tr>
        </w:tbl>
        <w:p w:rsidR="00F7510F" w:rsidRPr="00340D16" w:rsidRDefault="00F7510F" w:rsidP="00680DC6">
          <w:pPr>
            <w:pStyle w:val="Encabezado"/>
            <w:jc w:val="center"/>
          </w:pPr>
        </w:p>
      </w:tc>
    </w:tr>
  </w:tbl>
  <w:p w:rsidR="00F7510F" w:rsidRDefault="00F7510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47C5"/>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5FD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245D"/>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995D9"/>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1632-ECEB-4D94-929D-9191F8FB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373</Pages>
  <Words>133393</Words>
  <Characters>733663</Characters>
  <Application>Microsoft Office Word</Application>
  <DocSecurity>0</DocSecurity>
  <Lines>6113</Lines>
  <Paragraphs>1730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3</cp:revision>
  <cp:lastPrinted>2017-03-14T20:17:00Z</cp:lastPrinted>
  <dcterms:created xsi:type="dcterms:W3CDTF">2020-04-14T15:42:00Z</dcterms:created>
  <dcterms:modified xsi:type="dcterms:W3CDTF">2020-04-14T15:48:00Z</dcterms:modified>
</cp:coreProperties>
</file>