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0A343" w14:textId="77777777" w:rsidR="0087385B" w:rsidRDefault="0087385B" w:rsidP="006B670A">
      <w:pPr>
        <w:spacing w:line="276" w:lineRule="auto"/>
        <w:jc w:val="center"/>
        <w:rPr>
          <w:rFonts w:ascii="Baskerville Old Face" w:hAnsi="Baskerville Old Face" w:cs="Arial"/>
          <w:b/>
          <w:sz w:val="24"/>
          <w:szCs w:val="22"/>
        </w:rPr>
      </w:pPr>
    </w:p>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37D5D67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14:paraId="21905E48" w14:textId="77777777" w:rsidR="0072763A" w:rsidRPr="002D04BA" w:rsidRDefault="0072763A" w:rsidP="0087385B">
      <w:pPr>
        <w:jc w:val="both"/>
        <w:rPr>
          <w:rFonts w:ascii="Arial" w:hAnsi="Arial" w:cs="Arial"/>
          <w:sz w:val="22"/>
          <w:szCs w:val="22"/>
        </w:rPr>
      </w:pPr>
    </w:p>
    <w:p w14:paraId="3A7DB09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02EC9927" w14:textId="77777777" w:rsidR="0072763A" w:rsidRPr="002D04BA" w:rsidRDefault="0072763A" w:rsidP="0087385B">
      <w:pPr>
        <w:jc w:val="both"/>
        <w:rPr>
          <w:rFonts w:ascii="Arial" w:hAnsi="Arial" w:cs="Arial"/>
          <w:sz w:val="22"/>
          <w:szCs w:val="22"/>
        </w:rPr>
      </w:pPr>
    </w:p>
    <w:p w14:paraId="49BC302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14:paraId="539030D8" w14:textId="77777777" w:rsidR="0072763A" w:rsidRPr="002D04BA" w:rsidRDefault="0072763A" w:rsidP="0087385B">
      <w:pPr>
        <w:jc w:val="both"/>
        <w:rPr>
          <w:rFonts w:ascii="Arial" w:hAnsi="Arial" w:cs="Arial"/>
          <w:sz w:val="22"/>
          <w:szCs w:val="22"/>
        </w:rPr>
      </w:pPr>
    </w:p>
    <w:p w14:paraId="5DAEB5CB" w14:textId="77777777"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12811918" w14:textId="77777777" w:rsidR="00CA3D13" w:rsidRPr="00CA3D13" w:rsidRDefault="00CA3D13"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211 P.O. 39 DE FECHA 17 DE MAYO DE 2018</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 xml:space="preserve">Nadie puede ser molestado en su persona, familia, domicilio, papeles o posesiones, sino en virtud de mandamiento escrito de la autoridad competente, que funde y motive la causa legal </w:t>
      </w:r>
      <w:r w:rsidR="00456F0C" w:rsidRPr="00456F0C">
        <w:rPr>
          <w:rFonts w:ascii="Arial" w:eastAsia="Calibri" w:hAnsi="Arial" w:cs="Arial"/>
          <w:sz w:val="22"/>
          <w:szCs w:val="22"/>
          <w:lang w:val="es-ES" w:eastAsia="en-US"/>
        </w:rPr>
        <w:lastRenderedPageBreak/>
        <w:t>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 xml:space="preserve">No se considerará confiscación la aplicación de bienes de una persona cuando sea decretada para el pago de multas o impuestos, ni cuando la decrete una autoridad judicial para el pago de responsabilidad </w:t>
      </w:r>
      <w:r w:rsidRPr="00FF6C96">
        <w:rPr>
          <w:rFonts w:ascii="Arial" w:hAnsi="Arial" w:cs="Arial"/>
          <w:sz w:val="22"/>
          <w:szCs w:val="22"/>
        </w:rPr>
        <w:lastRenderedPageBreak/>
        <w:t>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0" w:name="_Hlk34314134"/>
      <w:r>
        <w:rPr>
          <w:rFonts w:asciiTheme="minorHAnsi" w:eastAsia="Calibri" w:hAnsiTheme="minorHAnsi" w:cstheme="minorHAnsi"/>
          <w:color w:val="0070C0"/>
          <w:sz w:val="16"/>
          <w:szCs w:val="16"/>
          <w:lang w:eastAsia="en-US"/>
        </w:rPr>
        <w:t>REFORMADO POR DEC. 193 P.O. 15 DEL 20 DE FEBRERO DE 2020.</w:t>
      </w:r>
      <w:bookmarkEnd w:id="0"/>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Nadie podrá ser sometido a torturas ni a penas o tratos crueles, inhumanos o degradantes; la ley  deberá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 xml:space="preserve">Toda persona detenida en flagrancia y tratándose de delitos perseguibles por querella o de aquellos cuya pena media aritmética, incluyendo sus modalidades, no exceda de 3 años podrá solicitar </w:t>
      </w:r>
      <w:r w:rsidRPr="002D04BA">
        <w:rPr>
          <w:rFonts w:ascii="Arial" w:hAnsi="Arial" w:cs="Arial"/>
          <w:sz w:val="22"/>
          <w:szCs w:val="22"/>
        </w:rPr>
        <w:lastRenderedPageBreak/>
        <w:t>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w:t>
      </w:r>
      <w:r w:rsidRPr="002D04BA">
        <w:rPr>
          <w:rFonts w:ascii="Arial" w:hAnsi="Arial" w:cs="Arial"/>
          <w:sz w:val="22"/>
          <w:szCs w:val="22"/>
        </w:rPr>
        <w:lastRenderedPageBreak/>
        <w:t>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2D0223E" w14:textId="77777777" w:rsidR="0072763A" w:rsidRPr="002D04BA" w:rsidRDefault="0072763A" w:rsidP="0087385B">
      <w:pPr>
        <w:jc w:val="both"/>
        <w:rPr>
          <w:rFonts w:ascii="Arial" w:hAnsi="Arial" w:cs="Arial"/>
          <w:sz w:val="22"/>
          <w:szCs w:val="22"/>
        </w:rPr>
      </w:pPr>
    </w:p>
    <w:p w14:paraId="25BE6E7B" w14:textId="77777777" w:rsidR="0072763A" w:rsidRPr="002D04BA" w:rsidRDefault="0072763A" w:rsidP="0087385B">
      <w:pPr>
        <w:jc w:val="center"/>
        <w:rPr>
          <w:rFonts w:ascii="Arial" w:hAnsi="Arial" w:cs="Arial"/>
          <w:b/>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lastRenderedPageBreak/>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28A4EE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14:paraId="4F00B167" w14:textId="77777777" w:rsidR="0072763A" w:rsidRPr="002D04BA" w:rsidRDefault="0072763A" w:rsidP="0087385B">
      <w:pPr>
        <w:jc w:val="both"/>
        <w:rPr>
          <w:rFonts w:ascii="Arial" w:hAnsi="Arial" w:cs="Arial"/>
          <w:sz w:val="22"/>
          <w:szCs w:val="22"/>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 xml:space="preserve">El Estado garantizará el derecho a la vivienda digna y decorosa. Para tal efecto, deberá implementar políticas y programas de acceso a la vivienda; desarrollar planes de financiamiento para </w:t>
      </w:r>
      <w:r w:rsidR="00921265" w:rsidRPr="00921265">
        <w:rPr>
          <w:rFonts w:ascii="Arial" w:hAnsi="Arial" w:cs="Arial"/>
          <w:sz w:val="22"/>
          <w:szCs w:val="22"/>
          <w:lang w:val="es-ES"/>
        </w:rPr>
        <w:lastRenderedPageBreak/>
        <w:t>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1" w:name="_Hlk80266734"/>
      <w:r>
        <w:rPr>
          <w:rFonts w:asciiTheme="minorHAnsi" w:hAnsiTheme="minorHAnsi" w:cstheme="minorHAnsi"/>
          <w:color w:val="0070C0"/>
          <w:sz w:val="16"/>
          <w:szCs w:val="16"/>
          <w:lang w:val="es-ES"/>
        </w:rPr>
        <w:t>REFORMADO POR DEC. 315, P.O. 56 DEL 15 DE JULIO DEL 2021.</w:t>
      </w:r>
      <w:bookmarkEnd w:id="1"/>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w:t>
      </w:r>
      <w:r w:rsidRPr="002D04BA">
        <w:rPr>
          <w:rFonts w:ascii="Arial" w:hAnsi="Arial" w:cs="Arial"/>
          <w:sz w:val="22"/>
          <w:szCs w:val="22"/>
        </w:rPr>
        <w:lastRenderedPageBreak/>
        <w:t>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lastRenderedPageBreak/>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921265">
      <w:pPr>
        <w:pStyle w:val="Prrafodelista"/>
        <w:tabs>
          <w:tab w:val="left" w:pos="567"/>
        </w:tabs>
        <w:ind w:left="0"/>
        <w:jc w:val="both"/>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01F106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14:paraId="42C4553F" w14:textId="77777777" w:rsidR="0072763A" w:rsidRPr="002D04BA" w:rsidRDefault="0072763A" w:rsidP="0087385B">
      <w:pPr>
        <w:jc w:val="both"/>
        <w:rPr>
          <w:rFonts w:ascii="Arial" w:hAnsi="Arial" w:cs="Arial"/>
          <w:sz w:val="22"/>
          <w:szCs w:val="22"/>
        </w:rPr>
      </w:pPr>
    </w:p>
    <w:p w14:paraId="01071CF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14:paraId="08EF181C" w14:textId="77777777" w:rsidR="0072763A" w:rsidRPr="002D04BA" w:rsidRDefault="0072763A" w:rsidP="0087385B">
      <w:pPr>
        <w:jc w:val="both"/>
        <w:rPr>
          <w:rFonts w:ascii="Arial" w:hAnsi="Arial" w:cs="Arial"/>
          <w:sz w:val="22"/>
          <w:szCs w:val="22"/>
        </w:rPr>
      </w:pPr>
    </w:p>
    <w:p w14:paraId="577C9E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14:paraId="62DE24CC" w14:textId="77777777" w:rsidR="0072763A" w:rsidRPr="002D04BA" w:rsidRDefault="0072763A" w:rsidP="0087385B">
      <w:pPr>
        <w:jc w:val="both"/>
        <w:rPr>
          <w:rFonts w:ascii="Arial" w:hAnsi="Arial" w:cs="Arial"/>
          <w:sz w:val="22"/>
          <w:szCs w:val="22"/>
        </w:rPr>
      </w:pPr>
    </w:p>
    <w:p w14:paraId="7F367E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14:paraId="68B200A1" w14:textId="77777777" w:rsidR="0072763A" w:rsidRPr="002D04BA" w:rsidRDefault="0072763A" w:rsidP="0087385B">
      <w:pPr>
        <w:jc w:val="both"/>
        <w:rPr>
          <w:rFonts w:ascii="Arial" w:hAnsi="Arial" w:cs="Arial"/>
          <w:sz w:val="22"/>
          <w:szCs w:val="22"/>
        </w:rPr>
      </w:pPr>
    </w:p>
    <w:p w14:paraId="0FCF092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14:paraId="149F60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4149032E" w14:textId="77777777" w:rsidR="0072763A" w:rsidRPr="002D04BA" w:rsidRDefault="0072763A" w:rsidP="0087385B">
      <w:pPr>
        <w:jc w:val="both"/>
        <w:rPr>
          <w:rFonts w:ascii="Arial" w:hAnsi="Arial" w:cs="Arial"/>
          <w:sz w:val="22"/>
          <w:szCs w:val="22"/>
        </w:rPr>
      </w:pPr>
    </w:p>
    <w:p w14:paraId="290BC764" w14:textId="16EDA2D2" w:rsidR="0072763A" w:rsidRDefault="00921265" w:rsidP="0087385B">
      <w:pPr>
        <w:jc w:val="both"/>
        <w:rPr>
          <w:rFonts w:ascii="Arial" w:hAnsi="Arial" w:cs="Arial"/>
          <w:sz w:val="22"/>
          <w:szCs w:val="22"/>
          <w:lang w:val="es-ES"/>
        </w:rPr>
      </w:pPr>
      <w:r w:rsidRPr="00921265">
        <w:rPr>
          <w:rFonts w:ascii="Arial" w:hAnsi="Arial" w:cs="Arial"/>
          <w:sz w:val="22"/>
          <w:szCs w:val="22"/>
          <w:lang w:val="es-ES"/>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digna y decorosa;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77777777" w:rsidR="00814A8C" w:rsidRPr="00814A8C" w:rsidRDefault="00814A8C"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theme="minorHAnsi"/>
          <w:bCs/>
          <w:color w:val="0070C0"/>
          <w:sz w:val="16"/>
          <w:szCs w:val="16"/>
          <w:lang w:val="es-ES_tradnl"/>
        </w:rPr>
        <w:t>REFDORMADO POR DEC. 267 P.O. 43 DEL 28 DE MAYO DE 2020.</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0D7DAF19" w14:textId="107BE060" w:rsidR="00243737" w:rsidRDefault="00243737" w:rsidP="0087385B">
      <w:pPr>
        <w:pStyle w:val="Prrafodelista"/>
        <w:tabs>
          <w:tab w:val="left" w:pos="384"/>
        </w:tabs>
        <w:ind w:left="0"/>
        <w:jc w:val="center"/>
        <w:rPr>
          <w:rFonts w:ascii="Arial" w:hAnsi="Arial" w:cs="Arial"/>
          <w:b/>
          <w:sz w:val="22"/>
          <w:szCs w:val="22"/>
        </w:rPr>
      </w:pPr>
    </w:p>
    <w:p w14:paraId="7B5B7EBD" w14:textId="001A1DE3" w:rsidR="00921265" w:rsidRDefault="00921265" w:rsidP="0087385B">
      <w:pPr>
        <w:pStyle w:val="Prrafodelista"/>
        <w:tabs>
          <w:tab w:val="left" w:pos="384"/>
        </w:tabs>
        <w:ind w:left="0"/>
        <w:jc w:val="center"/>
        <w:rPr>
          <w:rFonts w:ascii="Arial" w:hAnsi="Arial" w:cs="Arial"/>
          <w:b/>
          <w:sz w:val="22"/>
          <w:szCs w:val="22"/>
        </w:rPr>
      </w:pPr>
    </w:p>
    <w:p w14:paraId="04F93F72" w14:textId="6903B1CF" w:rsidR="00921265" w:rsidRDefault="00921265" w:rsidP="0087385B">
      <w:pPr>
        <w:pStyle w:val="Prrafodelista"/>
        <w:tabs>
          <w:tab w:val="left" w:pos="384"/>
        </w:tabs>
        <w:ind w:left="0"/>
        <w:jc w:val="center"/>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lastRenderedPageBreak/>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51D9B29F" w14:textId="77777777" w:rsidR="0072763A" w:rsidRPr="002D04BA" w:rsidRDefault="0072763A" w:rsidP="0087385B">
      <w:pPr>
        <w:pStyle w:val="Prrafodelista"/>
        <w:tabs>
          <w:tab w:val="left" w:pos="426"/>
        </w:tabs>
        <w:ind w:left="0"/>
        <w:rPr>
          <w:rFonts w:ascii="Arial" w:hAnsi="Arial" w:cs="Arial"/>
          <w:sz w:val="22"/>
          <w:szCs w:val="22"/>
        </w:rPr>
      </w:pP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 xml:space="preserve">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w:t>
      </w:r>
      <w:r w:rsidR="0072763A" w:rsidRPr="002D04BA">
        <w:rPr>
          <w:rFonts w:ascii="Arial" w:hAnsi="Arial" w:cs="Arial"/>
          <w:iCs/>
          <w:sz w:val="22"/>
          <w:szCs w:val="22"/>
        </w:rPr>
        <w:lastRenderedPageBreak/>
        <w:t>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2D04BA" w:rsidRDefault="0072763A" w:rsidP="0087385B">
      <w:pPr>
        <w:pStyle w:val="Prrafodelista"/>
        <w:tabs>
          <w:tab w:val="left" w:pos="384"/>
        </w:tabs>
        <w:ind w:left="0"/>
        <w:jc w:val="center"/>
        <w:rPr>
          <w:rFonts w:ascii="Arial" w:hAnsi="Arial" w:cs="Arial"/>
          <w:b/>
          <w:sz w:val="22"/>
          <w:szCs w:val="22"/>
        </w:rPr>
      </w:pPr>
    </w:p>
    <w:p w14:paraId="01C8CD53" w14:textId="77777777" w:rsidR="0072763A" w:rsidRPr="00D73D09" w:rsidRDefault="00D73D09" w:rsidP="00DE2DDE">
      <w:pPr>
        <w:pStyle w:val="Ttulo2"/>
      </w:pPr>
      <w:r w:rsidRPr="00D73D09">
        <w:t>TÍTULO TERCERO</w:t>
      </w:r>
    </w:p>
    <w:p w14:paraId="0F799C69" w14:textId="77777777" w:rsidR="0072763A" w:rsidRPr="00D73D09" w:rsidRDefault="00D73D09" w:rsidP="00DE2DDE">
      <w:pPr>
        <w:pStyle w:val="Ttulo2"/>
      </w:pPr>
      <w:r w:rsidRPr="00D73D09">
        <w:t>DEL TERRITORIO Y LOS HABITANTES DEL ESTADO</w:t>
      </w:r>
    </w:p>
    <w:p w14:paraId="4772158C" w14:textId="77777777" w:rsidR="0072763A" w:rsidRPr="00D73D09" w:rsidRDefault="0072763A" w:rsidP="0087385B">
      <w:pPr>
        <w:jc w:val="both"/>
        <w:rPr>
          <w:rFonts w:ascii="Arial" w:hAnsi="Arial" w:cs="Arial"/>
          <w:sz w:val="22"/>
          <w:szCs w:val="22"/>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El Estado de Durango está integrado por los siguientes municipios: Canatlán, Canelas, Coneto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Indé, Lerdo, Mapimí, Mezquital, Nazas, Nombre de Dios, Nuevo Ideal, Ocampo, Otáez,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Cordero, San Pedro del Gallo, 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087D8A2A" w14:textId="77777777"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14:paraId="532A2587" w14:textId="77777777" w:rsidR="0072763A" w:rsidRPr="002D04BA" w:rsidRDefault="0072763A" w:rsidP="0087385B">
      <w:pPr>
        <w:jc w:val="both"/>
        <w:rPr>
          <w:rFonts w:ascii="Arial" w:hAnsi="Arial" w:cs="Arial"/>
          <w:sz w:val="22"/>
          <w:szCs w:val="22"/>
        </w:rPr>
      </w:pPr>
    </w:p>
    <w:p w14:paraId="12EE95B2" w14:textId="77777777"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14:paraId="65F1857C" w14:textId="77777777" w:rsidR="00A02B72" w:rsidRPr="002D04BA" w:rsidRDefault="00A02B72" w:rsidP="0087385B">
      <w:pPr>
        <w:jc w:val="both"/>
        <w:rPr>
          <w:rFonts w:ascii="Arial" w:hAnsi="Arial" w:cs="Arial"/>
          <w:sz w:val="22"/>
          <w:szCs w:val="22"/>
        </w:rPr>
      </w:pPr>
    </w:p>
    <w:p w14:paraId="7D9ACC3F" w14:textId="77777777"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77777777"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77777777"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47397F49" w14:textId="77777777" w:rsidR="004F11BA" w:rsidRPr="002D04BA" w:rsidRDefault="004F11BA" w:rsidP="0087385B">
      <w:pPr>
        <w:jc w:val="both"/>
        <w:rPr>
          <w:rFonts w:ascii="Arial" w:hAnsi="Arial" w:cs="Arial"/>
          <w:b/>
          <w:sz w:val="22"/>
          <w:szCs w:val="22"/>
        </w:rPr>
      </w:pPr>
    </w:p>
    <w:p w14:paraId="03D4E3C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77777777" w:rsidR="0072763A" w:rsidRPr="006909C8" w:rsidRDefault="00A02B72" w:rsidP="00D73D09">
      <w:pPr>
        <w:pStyle w:val="Prrafodelista"/>
        <w:tabs>
          <w:tab w:val="left" w:pos="567"/>
        </w:tabs>
        <w:ind w:left="0"/>
        <w:jc w:val="right"/>
        <w:rPr>
          <w:rFonts w:asciiTheme="minorHAnsi" w:hAnsiTheme="minorHAnsi" w:cs="Arial"/>
          <w:i/>
          <w:color w:val="0070C0"/>
          <w:sz w:val="14"/>
          <w:szCs w:val="22"/>
        </w:rPr>
      </w:pPr>
      <w:r w:rsidRPr="006909C8">
        <w:rPr>
          <w:rFonts w:asciiTheme="minorHAnsi" w:hAnsiTheme="minorHAnsi" w:cs="Arial"/>
          <w:i/>
          <w:color w:val="0070C0"/>
          <w:sz w:val="14"/>
          <w:szCs w:val="22"/>
        </w:rPr>
        <w:t>FRACCIÓN DEROGADA POR DEC. 128, P. O. 19, 6 DE MARZO DE 2014.</w:t>
      </w:r>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1CFD879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14:paraId="4547CC6D" w14:textId="77777777" w:rsidR="0072763A" w:rsidRDefault="0072763A" w:rsidP="0087385B">
      <w:pPr>
        <w:jc w:val="center"/>
        <w:rPr>
          <w:rFonts w:ascii="Arial" w:hAnsi="Arial" w:cs="Arial"/>
          <w:b/>
          <w:sz w:val="22"/>
          <w:szCs w:val="22"/>
        </w:rPr>
      </w:pPr>
    </w:p>
    <w:p w14:paraId="6E7A5540" w14:textId="77777777" w:rsidR="00A02B72" w:rsidRPr="002D04BA" w:rsidRDefault="00A02B72" w:rsidP="0087385B">
      <w:pPr>
        <w:jc w:val="center"/>
        <w:rPr>
          <w:rFonts w:ascii="Arial" w:hAnsi="Arial" w:cs="Arial"/>
          <w:b/>
          <w:sz w:val="22"/>
          <w:szCs w:val="22"/>
        </w:rPr>
      </w:pPr>
    </w:p>
    <w:p w14:paraId="6625686A" w14:textId="77777777"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lastRenderedPageBreak/>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1ECA7492" w14:textId="77777777" w:rsidR="0072763A" w:rsidRDefault="0072763A" w:rsidP="0087385B">
      <w:pPr>
        <w:jc w:val="both"/>
        <w:rPr>
          <w:rFonts w:ascii="Arial" w:hAnsi="Arial" w:cs="Arial"/>
          <w:sz w:val="22"/>
          <w:szCs w:val="22"/>
        </w:rPr>
      </w:pPr>
    </w:p>
    <w:p w14:paraId="57E6D0DE" w14:textId="77777777" w:rsidR="00A02B72" w:rsidRPr="002D04BA" w:rsidRDefault="00A02B72" w:rsidP="0087385B">
      <w:pPr>
        <w:jc w:val="both"/>
        <w:rPr>
          <w:rFonts w:ascii="Arial" w:hAnsi="Arial" w:cs="Arial"/>
          <w:sz w:val="22"/>
          <w:szCs w:val="22"/>
        </w:rPr>
      </w:pPr>
    </w:p>
    <w:p w14:paraId="4CE7A798" w14:textId="77777777" w:rsidR="0072763A" w:rsidRPr="00D73D09" w:rsidRDefault="00D73D09" w:rsidP="00DE2DDE">
      <w:pPr>
        <w:pStyle w:val="Ttulo2"/>
      </w:pPr>
      <w:r w:rsidRPr="00D73D09">
        <w:t>TÍTULO CUARTO</w:t>
      </w:r>
    </w:p>
    <w:p w14:paraId="6E154EFA" w14:textId="77777777" w:rsidR="0072763A" w:rsidRPr="00D73D09" w:rsidRDefault="00D73D09" w:rsidP="00DE2DDE">
      <w:pPr>
        <w:pStyle w:val="Ttulo2"/>
      </w:pPr>
      <w:r w:rsidRPr="00D73D09">
        <w:t>DE LA SOBERANÍA Y FORMA DE GOBIERNO</w:t>
      </w:r>
    </w:p>
    <w:p w14:paraId="4283C814" w14:textId="77777777" w:rsidR="0072763A" w:rsidRPr="00D73D09" w:rsidRDefault="0072763A" w:rsidP="0087385B">
      <w:pPr>
        <w:jc w:val="center"/>
        <w:rPr>
          <w:rFonts w:ascii="Arial" w:hAnsi="Arial" w:cs="Arial"/>
          <w:b/>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77777777" w:rsidR="00FA6BC3" w:rsidRPr="002D04BA" w:rsidRDefault="00FA6BC3" w:rsidP="0087385B">
      <w:pPr>
        <w:rPr>
          <w:rFonts w:ascii="Arial" w:hAnsi="Arial" w:cs="Arial"/>
          <w:b/>
          <w:sz w:val="22"/>
          <w:szCs w:val="22"/>
        </w:rPr>
      </w:pPr>
    </w:p>
    <w:p w14:paraId="6E034E18" w14:textId="77777777" w:rsidR="0072763A" w:rsidRPr="00D73D09" w:rsidRDefault="00D73D09" w:rsidP="00D73D09">
      <w:pPr>
        <w:pStyle w:val="Ttulo3"/>
      </w:pPr>
      <w:r w:rsidRPr="00D73D09">
        <w:lastRenderedPageBreak/>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77777777"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14:paraId="5CB4129C" w14:textId="77777777"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71747852" w14:textId="77777777"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4BFC5DA9" w14:textId="77777777" w:rsidR="00D73D09" w:rsidRPr="00D73D09" w:rsidRDefault="00D73D09"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lastRenderedPageBreak/>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3049B83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14:paraId="172C8413" w14:textId="77777777" w:rsidR="0072763A" w:rsidRPr="002D04BA" w:rsidRDefault="0072763A" w:rsidP="0087385B">
      <w:pPr>
        <w:jc w:val="both"/>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77777777"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76645EF4" w14:textId="77777777" w:rsidR="0072763A" w:rsidRPr="002D04BA" w:rsidRDefault="0072763A" w:rsidP="0087385B">
      <w:pPr>
        <w:jc w:val="both"/>
        <w:rPr>
          <w:rFonts w:ascii="Arial" w:hAnsi="Arial" w:cs="Arial"/>
          <w:sz w:val="22"/>
          <w:szCs w:val="22"/>
        </w:rPr>
      </w:pP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3622FDB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14:paraId="776D3F9B" w14:textId="77777777" w:rsidR="0072763A" w:rsidRPr="002D04BA" w:rsidRDefault="0072763A" w:rsidP="0087385B">
      <w:pPr>
        <w:jc w:val="both"/>
        <w:rPr>
          <w:rFonts w:ascii="Arial" w:hAnsi="Arial" w:cs="Arial"/>
          <w:sz w:val="22"/>
          <w:szCs w:val="22"/>
        </w:rPr>
      </w:pPr>
    </w:p>
    <w:p w14:paraId="352E187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77777777" w:rsidR="0072763A" w:rsidRPr="002D04BA" w:rsidRDefault="0072763A" w:rsidP="0087385B">
      <w:pPr>
        <w:pStyle w:val="Prrafodelista"/>
        <w:tabs>
          <w:tab w:val="left" w:pos="567"/>
        </w:tabs>
        <w:ind w:left="0"/>
        <w:jc w:val="both"/>
        <w:rPr>
          <w:rFonts w:ascii="Arial" w:hAnsi="Arial" w:cs="Arial"/>
          <w:sz w:val="22"/>
          <w:szCs w:val="22"/>
        </w:rPr>
      </w:pP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7777777"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77777777"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14:paraId="210B231B" w14:textId="77777777" w:rsidR="0072763A" w:rsidRPr="002D04BA" w:rsidRDefault="0072763A" w:rsidP="0087385B">
      <w:pPr>
        <w:jc w:val="both"/>
        <w:rPr>
          <w:rFonts w:ascii="Arial" w:hAnsi="Arial" w:cs="Arial"/>
          <w:sz w:val="22"/>
          <w:szCs w:val="22"/>
        </w:rPr>
      </w:pPr>
    </w:p>
    <w:p w14:paraId="434E7A8E"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Ser ciudadano duranguense por nacimiento, con residencia efectiva de tres años al día de la elección, o ciudadano duranguense con residencia efectiva dentro del territorio del Estado que no sea </w:t>
      </w:r>
      <w:r w:rsidRPr="002D04BA">
        <w:rPr>
          <w:rFonts w:ascii="Arial" w:hAnsi="Arial" w:cs="Arial"/>
          <w:sz w:val="22"/>
          <w:szCs w:val="22"/>
        </w:rPr>
        <w:lastRenderedPageBreak/>
        <w:t>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56E7E4F5"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14:paraId="19476E96" w14:textId="77777777" w:rsidR="0072763A" w:rsidRPr="002D04BA" w:rsidRDefault="0072763A" w:rsidP="0087385B">
      <w:pPr>
        <w:pStyle w:val="Prrafodelista"/>
        <w:tabs>
          <w:tab w:val="left" w:pos="567"/>
        </w:tabs>
        <w:ind w:left="0"/>
        <w:jc w:val="both"/>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53AEB9D0" w14:textId="77777777"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77777777"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3F487450" w14:textId="77777777" w:rsidR="00D73D09" w:rsidRPr="00D73D09" w:rsidRDefault="00D73D09" w:rsidP="00D73D09">
      <w:pPr>
        <w:jc w:val="right"/>
        <w:rPr>
          <w:rFonts w:asciiTheme="minorHAnsi" w:hAnsiTheme="minorHAnsi" w:cs="Arial"/>
          <w:i/>
          <w:color w:val="0070C0"/>
          <w:sz w:val="14"/>
          <w:szCs w:val="22"/>
        </w:rPr>
      </w:pPr>
    </w:p>
    <w:p w14:paraId="59A2E4B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14:paraId="0344848F" w14:textId="77777777" w:rsidR="0072763A" w:rsidRPr="002D04BA" w:rsidRDefault="0072763A" w:rsidP="0087385B">
      <w:pPr>
        <w:jc w:val="both"/>
        <w:rPr>
          <w:rFonts w:ascii="Arial" w:hAnsi="Arial" w:cs="Arial"/>
          <w:sz w:val="22"/>
          <w:szCs w:val="22"/>
        </w:rPr>
      </w:pPr>
    </w:p>
    <w:p w14:paraId="769E0B1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281C1A1F" w14:textId="77777777" w:rsidR="0072763A" w:rsidRPr="002D04BA" w:rsidRDefault="0072763A" w:rsidP="0087385B">
      <w:pPr>
        <w:jc w:val="both"/>
        <w:rPr>
          <w:rFonts w:ascii="Arial" w:hAnsi="Arial" w:cs="Arial"/>
          <w:b/>
          <w:sz w:val="22"/>
          <w:szCs w:val="22"/>
        </w:rPr>
      </w:pPr>
    </w:p>
    <w:p w14:paraId="5922DA9F"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4825F5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50A038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2D99DA38" w14:textId="77777777" w:rsidR="0072763A" w:rsidRPr="00D73D09" w:rsidRDefault="0072763A" w:rsidP="0087385B">
      <w:pPr>
        <w:jc w:val="both"/>
        <w:rPr>
          <w:rFonts w:ascii="Arial" w:hAnsi="Arial" w:cs="Arial"/>
          <w:sz w:val="22"/>
          <w:szCs w:val="22"/>
        </w:rPr>
      </w:pPr>
    </w:p>
    <w:p w14:paraId="02556552" w14:textId="77777777"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097398" w:rsidRPr="00097398">
        <w:rPr>
          <w:rFonts w:ascii="Arial" w:hAnsi="Arial" w:cs="Arial"/>
          <w:color w:val="000000"/>
          <w:sz w:val="22"/>
        </w:rPr>
        <w:t>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304E6B98" w14:textId="77777777" w:rsidR="005D69E8" w:rsidRPr="005D69E8" w:rsidRDefault="00D73D09" w:rsidP="005D69E8">
      <w:pPr>
        <w:jc w:val="both"/>
        <w:rPr>
          <w:rFonts w:ascii="Arial" w:hAnsi="Arial" w:cs="Arial"/>
          <w:color w:val="000000"/>
          <w:sz w:val="22"/>
        </w:rPr>
      </w:pPr>
      <w:r w:rsidRPr="00D73D09">
        <w:rPr>
          <w:rFonts w:ascii="Arial" w:hAnsi="Arial" w:cs="Arial"/>
          <w:b/>
          <w:sz w:val="22"/>
          <w:szCs w:val="22"/>
        </w:rPr>
        <w:t>ARTÍCULO 76.-</w:t>
      </w:r>
      <w:r w:rsidRPr="005D69E8">
        <w:rPr>
          <w:rFonts w:ascii="Arial" w:hAnsi="Arial" w:cs="Arial"/>
          <w:b/>
          <w:sz w:val="24"/>
          <w:szCs w:val="22"/>
        </w:rPr>
        <w:t xml:space="preserve"> </w:t>
      </w:r>
      <w:r w:rsidR="005D69E8" w:rsidRPr="005D69E8">
        <w:rPr>
          <w:rFonts w:ascii="Arial" w:hAnsi="Arial" w:cs="Arial"/>
          <w:color w:val="000000"/>
          <w:sz w:val="22"/>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los diputados que lo integran.</w:t>
      </w:r>
    </w:p>
    <w:p w14:paraId="4B82648F" w14:textId="77777777" w:rsidR="005D69E8" w:rsidRPr="005D69E8" w:rsidRDefault="005D69E8" w:rsidP="005D69E8">
      <w:pPr>
        <w:jc w:val="both"/>
        <w:rPr>
          <w:rFonts w:ascii="Arial" w:hAnsi="Arial" w:cs="Arial"/>
          <w:color w:val="000000"/>
          <w:sz w:val="22"/>
        </w:rPr>
      </w:pP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49D4165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26A9388"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707967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77777777"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Pr="00962926">
        <w:rPr>
          <w:rFonts w:ascii="Arial" w:hAnsi="Arial" w:cs="Arial"/>
          <w:b/>
          <w:sz w:val="22"/>
          <w:szCs w:val="22"/>
        </w:rPr>
        <w:t xml:space="preserve">.-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67E92C2E" w14:textId="77777777" w:rsidR="0072763A" w:rsidRPr="002D04BA" w:rsidRDefault="0072763A" w:rsidP="0087385B">
      <w:pPr>
        <w:tabs>
          <w:tab w:val="left" w:pos="993"/>
        </w:tabs>
        <w:jc w:val="both"/>
        <w:rPr>
          <w:rFonts w:ascii="Arial" w:hAnsi="Arial" w:cs="Arial"/>
          <w:sz w:val="22"/>
          <w:szCs w:val="22"/>
        </w:rPr>
      </w:pP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lastRenderedPageBreak/>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cuales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lastRenderedPageBreak/>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municipal  y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3EFFEB42" w14:textId="77777777" w:rsidR="00FF6C96" w:rsidRPr="00FF6C96" w:rsidRDefault="00FF6C96" w:rsidP="00FF6C96">
      <w:pPr>
        <w:tabs>
          <w:tab w:val="left" w:pos="993"/>
        </w:tabs>
        <w:jc w:val="both"/>
        <w:rPr>
          <w:rFonts w:ascii="Arial" w:hAnsi="Arial" w:cs="Arial"/>
          <w:sz w:val="22"/>
          <w:szCs w:val="22"/>
        </w:rPr>
      </w:pP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14:paraId="2C50AE62" w14:textId="77777777" w:rsidR="0072763A" w:rsidRPr="002D04BA" w:rsidRDefault="0072763A" w:rsidP="0087385B">
      <w:pPr>
        <w:tabs>
          <w:tab w:val="left" w:pos="993"/>
        </w:tabs>
        <w:jc w:val="both"/>
        <w:rPr>
          <w:rFonts w:ascii="Arial" w:hAnsi="Arial" w:cs="Arial"/>
          <w:sz w:val="22"/>
          <w:szCs w:val="22"/>
        </w:rPr>
      </w:pPr>
    </w:p>
    <w:p w14:paraId="2E3EADC3"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14:paraId="359CD93F" w14:textId="77777777" w:rsidR="0072763A" w:rsidRPr="002D04BA" w:rsidRDefault="0072763A" w:rsidP="0087385B">
      <w:pPr>
        <w:tabs>
          <w:tab w:val="left" w:pos="993"/>
        </w:tabs>
        <w:jc w:val="both"/>
        <w:rPr>
          <w:rFonts w:ascii="Arial" w:hAnsi="Arial" w:cs="Arial"/>
          <w:sz w:val="22"/>
          <w:szCs w:val="22"/>
        </w:rPr>
      </w:pPr>
    </w:p>
    <w:p w14:paraId="5D4723B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b)</w:t>
      </w:r>
      <w:r w:rsidRPr="002D04BA">
        <w:rPr>
          <w:rFonts w:ascii="Arial" w:hAnsi="Arial" w:cs="Arial"/>
          <w:sz w:val="22"/>
          <w:szCs w:val="22"/>
        </w:rPr>
        <w:t xml:space="preserve"> </w:t>
      </w:r>
      <w:r w:rsidR="005C09E4" w:rsidRPr="005C09E4">
        <w:rPr>
          <w:rFonts w:ascii="Arial" w:hAnsi="Arial" w:cs="Arial"/>
          <w:sz w:val="22"/>
          <w:szCs w:val="22"/>
        </w:rPr>
        <w:t>Ratificar al Fiscal General del Estado, al Secretario responsable del control interno del Ejecutivo del Estado y al Fiscal Especializado en Combate a la Corrupción con la aprobación de las dos terceras partes de los diputados presentes</w:t>
      </w:r>
      <w:r w:rsidRPr="002D04BA">
        <w:rPr>
          <w:rFonts w:ascii="Arial" w:hAnsi="Arial" w:cs="Arial"/>
          <w:sz w:val="22"/>
          <w:szCs w:val="22"/>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E00942" w:rsidRPr="00E00942">
        <w:rPr>
          <w:rFonts w:ascii="Arial" w:hAnsi="Arial" w:cs="Arial"/>
          <w:sz w:val="22"/>
          <w:szCs w:val="22"/>
        </w:rPr>
        <w:t>Integrar comisiones para investigar el funcionamiento de cualquier órgano de la administración pública estatal o municipal. Los resultados de las  investigaciones se harán de conocimiento del Pleno del Congreso del Estado, y en su caso, del Gobernador del Estado y de los ayuntamientos, así como a la Entidad de Auditoría Superior del Estado   y  a la Fiscalía Especializada en Combate a la Corrupción, y podrán dar lugar a responsabilidades políticas o de otro tipo</w:t>
      </w:r>
      <w:r w:rsidRPr="002D04BA">
        <w:rPr>
          <w:rFonts w:ascii="Arial" w:hAnsi="Arial" w:cs="Arial"/>
          <w:sz w:val="22"/>
          <w:szCs w:val="22"/>
        </w:rPr>
        <w:t>.</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2" w:name="_Hlk62733285"/>
      <w:r>
        <w:rPr>
          <w:rFonts w:asciiTheme="minorHAnsi" w:hAnsiTheme="minorHAnsi" w:cstheme="minorHAnsi"/>
          <w:bCs/>
          <w:color w:val="0070C0"/>
          <w:sz w:val="16"/>
          <w:szCs w:val="16"/>
        </w:rPr>
        <w:t>ADICIONADO POR DEC. 287 P.O. 43 DEL 28 DE MAYO DE 2020.</w:t>
      </w:r>
      <w:bookmarkEnd w:id="2"/>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Durante los periodos de receso del Congreso, la representación del Poder Legislativo radicará en una Comisión Permanente, que se integrará por cinco diputados propietarios y sus respectivos suplentes.</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Cada una de las formas de organización parlamentaria, y en su caso, diputado independiente, acreditarán un representante con voz ante la Comisión Permanente, la Ley Orgánica del Congreso determinará cuales de ellas tendrá derecho a voto.</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Tomar la protesta de ley, en su caso, al Gobernador, a los Magistrados del Tribunal Superior de Justicia, del Tribunal de Menores Infractores,   al Titular de la Entidad de Auditoría Superior del Estado, del Tribunal de Justicia  Fiscal y Administrativa y a los integrantes de la Comisión Estatal de Derechos Humanos del Estado de Durango;</w:t>
      </w:r>
    </w:p>
    <w:p w14:paraId="097BB5CB" w14:textId="77777777" w:rsidR="000962E3" w:rsidRPr="000962E3" w:rsidRDefault="000962E3" w:rsidP="000962E3">
      <w:pPr>
        <w:jc w:val="both"/>
        <w:rPr>
          <w:rFonts w:ascii="Arial" w:hAnsi="Arial" w:cs="Arial"/>
          <w:color w:val="000000"/>
          <w:sz w:val="22"/>
        </w:rPr>
      </w:pPr>
    </w:p>
    <w:p w14:paraId="69F9EBF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III.-</w:t>
      </w:r>
      <w:r w:rsidRPr="000962E3">
        <w:rPr>
          <w:rFonts w:ascii="Arial" w:hAnsi="Arial" w:cs="Arial"/>
          <w:color w:val="000000"/>
          <w:sz w:val="22"/>
        </w:rPr>
        <w:t xml:space="preserve"> Recibir los avisos de ausencia del Gobernador y conceder las autorizaciones o, en su caso, licencias que soliciten el Gobernador y los Magistrados del Tribunal Superior de Justicia, Magistrados Electorales, del Tribunal de Justicia Fiscal y Administrativa y del Tribunal de Menores Infractores y miembros del Consejo de la Judicatura;</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 xml:space="preserve">V.- </w:t>
      </w:r>
      <w:r w:rsidRPr="000962E3">
        <w:rPr>
          <w:rFonts w:ascii="Arial" w:hAnsi="Arial" w:cs="Arial"/>
          <w:color w:val="000000"/>
          <w:sz w:val="22"/>
        </w:rPr>
        <w:t>Presidir los períodos extraordinarios de sesiones del Congreso;</w:t>
      </w: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77777777" w:rsidR="000962E3" w:rsidRDefault="000962E3" w:rsidP="00895B42">
      <w:pPr>
        <w:jc w:val="right"/>
        <w:rPr>
          <w:rFonts w:asciiTheme="minorHAnsi" w:hAnsiTheme="minorHAnsi"/>
          <w:i/>
          <w:color w:val="0070C0"/>
          <w:sz w:val="14"/>
        </w:rPr>
      </w:pPr>
      <w:r>
        <w:rPr>
          <w:rFonts w:asciiTheme="minorHAnsi" w:hAnsiTheme="minorHAnsi"/>
          <w:i/>
          <w:color w:val="0070C0"/>
          <w:sz w:val="14"/>
        </w:rPr>
        <w:t xml:space="preserve">FRACCIÓN  ADICIONADA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p>
    <w:p w14:paraId="5D953CF1" w14:textId="77777777" w:rsidR="00895B42" w:rsidRPr="00895B42" w:rsidRDefault="00895B42" w:rsidP="00895B42">
      <w:pPr>
        <w:jc w:val="right"/>
        <w:rPr>
          <w:rFonts w:asciiTheme="minorHAnsi" w:hAnsiTheme="minorHAnsi"/>
          <w:i/>
          <w:color w:val="0070C0"/>
          <w:sz w:val="14"/>
        </w:rPr>
      </w:pPr>
    </w:p>
    <w:p w14:paraId="414FBF7E" w14:textId="77777777"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0962E3" w:rsidRPr="000962E3">
        <w:rPr>
          <w:rFonts w:ascii="Arial" w:hAnsi="Arial" w:cs="Arial"/>
          <w:color w:val="000000"/>
          <w:sz w:val="22"/>
          <w:szCs w:val="22"/>
        </w:rPr>
        <w:t>El Congreso del Estado, en los días posteriores a la entrega del informe de gestión gubernamental que rinda el Gobernador del Estado, citará a los Secretarios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2B722BBA" w14:textId="77777777" w:rsidR="000962E3" w:rsidRPr="000962E3" w:rsidRDefault="000962E3" w:rsidP="000962E3">
      <w:pPr>
        <w:jc w:val="both"/>
        <w:rPr>
          <w:rFonts w:ascii="Arial" w:hAnsi="Arial" w:cs="Arial"/>
          <w:color w:val="000000"/>
          <w:sz w:val="22"/>
          <w:szCs w:val="22"/>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lastRenderedPageBreak/>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7777777" w:rsidR="000962E3" w:rsidRPr="000962E3" w:rsidRDefault="00962926" w:rsidP="000962E3">
      <w:pPr>
        <w:jc w:val="both"/>
        <w:rPr>
          <w:rFonts w:ascii="Arial" w:hAnsi="Arial" w:cs="Arial"/>
          <w:color w:val="000000"/>
          <w:sz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0962E3" w:rsidRPr="000962E3">
        <w:rPr>
          <w:rFonts w:ascii="Arial" w:hAnsi="Arial" w:cs="Arial"/>
          <w:color w:val="000000"/>
          <w:sz w:val="22"/>
        </w:rPr>
        <w:t>El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Junta de de Gobierno y Coordinación Política,</w:t>
      </w:r>
      <w:r w:rsidRPr="000962E3">
        <w:rPr>
          <w:rFonts w:ascii="Arial" w:hAnsi="Arial" w:cs="Arial"/>
          <w:color w:val="000000"/>
          <w:sz w:val="22"/>
        </w:rPr>
        <w:t xml:space="preserve"> encargado de la administración y de su representación política, de carácter colegiado y  de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7BFE7755" w14:textId="77777777" w:rsidR="00D07A10" w:rsidRPr="00E00942" w:rsidRDefault="00D07A10" w:rsidP="00E00942">
      <w:pPr>
        <w:jc w:val="both"/>
        <w:rPr>
          <w:rFonts w:ascii="Arial" w:hAnsi="Arial" w:cs="Arial"/>
          <w:sz w:val="22"/>
          <w:lang w:eastAsia="es-MX"/>
        </w:rPr>
      </w:pP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 xml:space="preserve">En los términos que establezca la Ley, fiscalizará en coordinación con la Auditoría Superior de la Federación, las participaciones federales. Asimismo, fiscalizará los recursos estatales y municipales y </w:t>
      </w:r>
      <w:r w:rsidR="007A1F5A" w:rsidRPr="007A1F5A">
        <w:rPr>
          <w:rFonts w:ascii="Arial" w:hAnsi="Arial" w:cs="Arial"/>
          <w:sz w:val="22"/>
          <w:szCs w:val="22"/>
          <w:lang w:val="es-ES"/>
        </w:rPr>
        <w:lastRenderedPageBreak/>
        <w:t>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Derivado de sus investigaciones y sin perjuicio de la competencia de la Auditoría Superior de la Federación, promoverá las responsabilidades que sean procedentes ante el Tribunal de Justicia Administrativa y la  Fiscalía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47B6158F"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1789DA6" w14:textId="77777777" w:rsidR="0072763A" w:rsidRPr="002D04BA" w:rsidRDefault="0072763A" w:rsidP="0087385B">
      <w:pPr>
        <w:pStyle w:val="Prrafodelista"/>
        <w:tabs>
          <w:tab w:val="left" w:pos="426"/>
        </w:tabs>
        <w:ind w:left="0"/>
        <w:rPr>
          <w:rFonts w:ascii="Arial" w:hAnsi="Arial" w:cs="Arial"/>
          <w:sz w:val="22"/>
          <w:szCs w:val="22"/>
        </w:rPr>
      </w:pPr>
    </w:p>
    <w:p w14:paraId="3B44EE74"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14:paraId="5E7CA970" w14:textId="77777777" w:rsidR="0072763A" w:rsidRPr="002D04BA" w:rsidRDefault="0072763A" w:rsidP="0087385B">
      <w:pPr>
        <w:pStyle w:val="Prrafodelista"/>
        <w:tabs>
          <w:tab w:val="left" w:pos="426"/>
        </w:tabs>
        <w:ind w:left="0"/>
        <w:rPr>
          <w:rFonts w:ascii="Arial" w:hAnsi="Arial" w:cs="Arial"/>
          <w:sz w:val="22"/>
          <w:szCs w:val="22"/>
        </w:rPr>
      </w:pPr>
    </w:p>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38257BD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14:paraId="110CE716" w14:textId="77777777" w:rsidR="0072763A" w:rsidRPr="002D04BA" w:rsidRDefault="0072763A" w:rsidP="0087385B">
      <w:pPr>
        <w:jc w:val="both"/>
        <w:rPr>
          <w:rFonts w:ascii="Arial" w:hAnsi="Arial" w:cs="Arial"/>
          <w:sz w:val="22"/>
          <w:szCs w:val="22"/>
        </w:rPr>
      </w:pPr>
    </w:p>
    <w:p w14:paraId="3709F3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14:paraId="13D93F3B" w14:textId="77777777" w:rsidR="0072763A" w:rsidRPr="002D04BA" w:rsidRDefault="0072763A" w:rsidP="0087385B">
      <w:pPr>
        <w:jc w:val="both"/>
        <w:rPr>
          <w:rFonts w:ascii="Arial" w:hAnsi="Arial" w:cs="Arial"/>
          <w:sz w:val="22"/>
          <w:szCs w:val="22"/>
        </w:rPr>
      </w:pPr>
    </w:p>
    <w:p w14:paraId="105B878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14:paraId="226B6917" w14:textId="77777777" w:rsidR="0072763A" w:rsidRPr="002D04BA" w:rsidRDefault="0072763A" w:rsidP="0087385B">
      <w:pPr>
        <w:jc w:val="both"/>
        <w:rPr>
          <w:rFonts w:ascii="Arial" w:hAnsi="Arial" w:cs="Arial"/>
          <w:sz w:val="22"/>
          <w:szCs w:val="22"/>
        </w:rPr>
      </w:pPr>
    </w:p>
    <w:p w14:paraId="0DAB546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14:paraId="00D28E80" w14:textId="77777777" w:rsidR="0072763A" w:rsidRPr="002D04BA" w:rsidRDefault="0072763A" w:rsidP="0087385B">
      <w:pPr>
        <w:jc w:val="both"/>
        <w:rPr>
          <w:rFonts w:ascii="Arial" w:hAnsi="Arial" w:cs="Arial"/>
          <w:sz w:val="22"/>
          <w:szCs w:val="22"/>
        </w:rPr>
      </w:pPr>
    </w:p>
    <w:p w14:paraId="28B1811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3DC8BF3E"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14:paraId="595D8317" w14:textId="77777777" w:rsidR="0072763A" w:rsidRPr="002D04BA" w:rsidRDefault="0072763A" w:rsidP="0087385B">
      <w:pPr>
        <w:pStyle w:val="Prrafodelista"/>
        <w:tabs>
          <w:tab w:val="left" w:pos="426"/>
        </w:tabs>
        <w:ind w:left="0"/>
        <w:rPr>
          <w:rFonts w:ascii="Arial" w:hAnsi="Arial" w:cs="Arial"/>
          <w:sz w:val="22"/>
          <w:szCs w:val="22"/>
        </w:rPr>
      </w:pPr>
    </w:p>
    <w:p w14:paraId="737AF3D3" w14:textId="77777777"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586AACDC"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14:paraId="0F764898" w14:textId="77777777" w:rsidR="0072763A" w:rsidRPr="002D04BA" w:rsidRDefault="0072763A" w:rsidP="0087385B">
      <w:pPr>
        <w:jc w:val="both"/>
        <w:rPr>
          <w:rFonts w:ascii="Arial" w:hAnsi="Arial" w:cs="Arial"/>
          <w:sz w:val="22"/>
          <w:szCs w:val="22"/>
        </w:rPr>
      </w:pPr>
    </w:p>
    <w:p w14:paraId="47CBAC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6BA30785" w14:textId="77777777" w:rsidR="00243737" w:rsidRDefault="00243737" w:rsidP="0087385B">
      <w:pPr>
        <w:jc w:val="center"/>
        <w:rPr>
          <w:rFonts w:ascii="Arial" w:hAnsi="Arial" w:cs="Arial"/>
          <w:b/>
          <w:sz w:val="22"/>
          <w:szCs w:val="22"/>
        </w:rPr>
      </w:pPr>
    </w:p>
    <w:p w14:paraId="68647A6A" w14:textId="77777777" w:rsidR="00475AC4" w:rsidRPr="002D04BA" w:rsidRDefault="00475AC4" w:rsidP="0087385B">
      <w:pPr>
        <w:jc w:val="center"/>
        <w:rPr>
          <w:rFonts w:ascii="Arial" w:hAnsi="Arial" w:cs="Arial"/>
          <w:b/>
          <w:sz w:val="22"/>
          <w:szCs w:val="22"/>
        </w:rPr>
      </w:pPr>
    </w:p>
    <w:p w14:paraId="71B93382" w14:textId="77777777" w:rsidR="0072763A" w:rsidRPr="00962926" w:rsidRDefault="00962926" w:rsidP="00475AC4">
      <w:pPr>
        <w:pStyle w:val="Ttulo4"/>
      </w:pPr>
      <w:r w:rsidRPr="00962926">
        <w:t>SECCIÓN SEGUNDA</w:t>
      </w:r>
    </w:p>
    <w:p w14:paraId="68F9FDDB" w14:textId="77777777" w:rsidR="0072763A" w:rsidRPr="00962926" w:rsidRDefault="00962926" w:rsidP="00475AC4">
      <w:pPr>
        <w:pStyle w:val="Ttulo4"/>
      </w:pPr>
      <w:r w:rsidRPr="00962926">
        <w:t xml:space="preserve">DE LAS FALTAS Y LICENCIAS DEL GOBERNADOR </w:t>
      </w:r>
      <w:r w:rsidRPr="00962926">
        <w:rPr>
          <w:iCs/>
        </w:rPr>
        <w:t>DEL ESTADO</w:t>
      </w:r>
    </w:p>
    <w:p w14:paraId="598CAFAC" w14:textId="77777777" w:rsidR="0072763A" w:rsidRPr="002D04BA" w:rsidRDefault="0072763A" w:rsidP="0087385B">
      <w:pPr>
        <w:jc w:val="both"/>
        <w:rPr>
          <w:rFonts w:ascii="Arial" w:hAnsi="Arial" w:cs="Arial"/>
          <w:sz w:val="22"/>
          <w:szCs w:val="22"/>
        </w:rPr>
      </w:pPr>
    </w:p>
    <w:p w14:paraId="053C2FA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14:paraId="70FCEF29" w14:textId="77777777" w:rsidR="0072763A" w:rsidRPr="002D04BA" w:rsidRDefault="0072763A" w:rsidP="0087385B">
      <w:pPr>
        <w:jc w:val="both"/>
        <w:rPr>
          <w:rFonts w:ascii="Arial" w:hAnsi="Arial" w:cs="Arial"/>
          <w:sz w:val="22"/>
          <w:szCs w:val="22"/>
        </w:rPr>
      </w:pPr>
    </w:p>
    <w:p w14:paraId="326FDB67"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77777777"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14:paraId="059F9E6F" w14:textId="77777777" w:rsidR="0072763A" w:rsidRPr="002D04BA" w:rsidRDefault="0072763A" w:rsidP="0087385B">
      <w:pPr>
        <w:jc w:val="both"/>
        <w:rPr>
          <w:rFonts w:ascii="Arial" w:hAnsi="Arial" w:cs="Arial"/>
          <w:sz w:val="22"/>
          <w:szCs w:val="22"/>
        </w:rPr>
      </w:pPr>
    </w:p>
    <w:p w14:paraId="578DB3C8" w14:textId="77777777"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procediéndose conforme a lo dispuesto en el artículo anterior. El Secretario General de Gobierno saliente se encargará del despacho, en tanto se lleva a cabo la designación.</w:t>
      </w:r>
    </w:p>
    <w:p w14:paraId="7236E6FB" w14:textId="77777777" w:rsidR="0072763A" w:rsidRPr="002D04BA" w:rsidRDefault="0072763A" w:rsidP="0087385B">
      <w:pPr>
        <w:jc w:val="both"/>
        <w:rPr>
          <w:rFonts w:ascii="Arial" w:hAnsi="Arial" w:cs="Arial"/>
          <w:sz w:val="22"/>
          <w:szCs w:val="22"/>
        </w:rPr>
      </w:pPr>
    </w:p>
    <w:p w14:paraId="3F481788"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BBB890F" w14:textId="77777777" w:rsidR="0072763A" w:rsidRPr="002D04BA" w:rsidRDefault="0072763A" w:rsidP="0087385B">
      <w:pPr>
        <w:jc w:val="both"/>
        <w:rPr>
          <w:rFonts w:ascii="Arial" w:hAnsi="Arial" w:cs="Arial"/>
          <w:sz w:val="22"/>
          <w:szCs w:val="22"/>
        </w:rPr>
      </w:pPr>
    </w:p>
    <w:p w14:paraId="7485D75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14:paraId="4DA23A95" w14:textId="77777777" w:rsidR="0072763A" w:rsidRPr="002D04BA" w:rsidRDefault="0072763A"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C4BBE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14:paraId="50CD2FF4" w14:textId="77777777" w:rsidR="0072763A" w:rsidRPr="002D04BA" w:rsidRDefault="0072763A" w:rsidP="0087385B">
      <w:pPr>
        <w:jc w:val="both"/>
        <w:rPr>
          <w:rFonts w:ascii="Arial" w:hAnsi="Arial" w:cs="Arial"/>
          <w:b/>
          <w:sz w:val="22"/>
          <w:szCs w:val="22"/>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3614BC71" w14:textId="77777777" w:rsidR="0072763A" w:rsidRPr="00962926" w:rsidRDefault="00962926" w:rsidP="00475AC4">
      <w:pPr>
        <w:pStyle w:val="Ttulo4"/>
      </w:pPr>
      <w:r w:rsidRPr="00962926">
        <w:t>SECCIÓN TERCERA</w:t>
      </w:r>
    </w:p>
    <w:p w14:paraId="548E07C7" w14:textId="77777777" w:rsidR="0072763A" w:rsidRPr="00962926" w:rsidRDefault="00962926" w:rsidP="00475AC4">
      <w:pPr>
        <w:pStyle w:val="Ttulo4"/>
        <w:rPr>
          <w:iCs/>
        </w:rPr>
      </w:pPr>
      <w:r w:rsidRPr="00962926">
        <w:t xml:space="preserve">DE LAS FACULTADES Y OBLIGACIONES DEL GOBERNADOR </w:t>
      </w:r>
      <w:r w:rsidRPr="00962926">
        <w:rPr>
          <w:iCs/>
        </w:rPr>
        <w:t>DEL ESTADO</w:t>
      </w:r>
    </w:p>
    <w:p w14:paraId="67CD3721" w14:textId="77777777" w:rsidR="0072763A" w:rsidRPr="002D04BA" w:rsidRDefault="0072763A" w:rsidP="0087385B">
      <w:pPr>
        <w:jc w:val="center"/>
        <w:rPr>
          <w:rFonts w:ascii="Arial" w:hAnsi="Arial" w:cs="Arial"/>
          <w:sz w:val="22"/>
          <w:szCs w:val="22"/>
        </w:rPr>
      </w:pPr>
    </w:p>
    <w:p w14:paraId="46C8E50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257120CF" w14:textId="77777777" w:rsidR="0072763A" w:rsidRPr="002D04BA" w:rsidRDefault="0072763A" w:rsidP="0087385B">
      <w:pPr>
        <w:pStyle w:val="Prrafodelista"/>
        <w:tabs>
          <w:tab w:val="left" w:pos="426"/>
        </w:tabs>
        <w:ind w:left="0"/>
        <w:rPr>
          <w:rFonts w:ascii="Arial" w:hAnsi="Arial" w:cs="Arial"/>
          <w:sz w:val="22"/>
          <w:szCs w:val="22"/>
        </w:rPr>
      </w:pPr>
    </w:p>
    <w:p w14:paraId="00047048"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14:paraId="45542DC8" w14:textId="77777777" w:rsidR="0072763A" w:rsidRPr="002D04BA" w:rsidRDefault="0072763A" w:rsidP="0087385B">
      <w:pPr>
        <w:pStyle w:val="Prrafodelista"/>
        <w:tabs>
          <w:tab w:val="left" w:pos="426"/>
        </w:tabs>
        <w:ind w:left="0"/>
        <w:jc w:val="both"/>
        <w:rPr>
          <w:rFonts w:ascii="Arial" w:hAnsi="Arial" w:cs="Arial"/>
          <w:sz w:val="22"/>
          <w:szCs w:val="22"/>
        </w:rPr>
      </w:pPr>
    </w:p>
    <w:p w14:paraId="496D31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77777777" w:rsidR="0072763A" w:rsidRDefault="007A1F5A" w:rsidP="0087385B">
      <w:pPr>
        <w:pStyle w:val="Prrafodelista"/>
        <w:numPr>
          <w:ilvl w:val="0"/>
          <w:numId w:val="4"/>
        </w:numPr>
        <w:tabs>
          <w:tab w:val="left" w:pos="426"/>
        </w:tabs>
        <w:ind w:left="0" w:firstLine="0"/>
        <w:jc w:val="both"/>
        <w:rPr>
          <w:rFonts w:ascii="Arial" w:hAnsi="Arial" w:cs="Arial"/>
          <w:sz w:val="22"/>
          <w:szCs w:val="22"/>
        </w:rPr>
      </w:pPr>
      <w:r w:rsidRPr="007A1F5A">
        <w:rPr>
          <w:rFonts w:ascii="Arial" w:hAnsi="Arial" w:cs="Arial"/>
          <w:sz w:val="22"/>
          <w:szCs w:val="22"/>
          <w:lang w:val="es-MX"/>
        </w:rPr>
        <w:t>Proponer al Congreso del Estado a los magistrados del Tribunal Superior de Justicia, del Tribunal de Justicia Administrativa y del Tribunal para Menores Infractores</w:t>
      </w:r>
      <w:r w:rsidR="0072763A" w:rsidRPr="002D04BA">
        <w:rPr>
          <w:rFonts w:ascii="Arial" w:hAnsi="Arial" w:cs="Arial"/>
          <w:sz w:val="22"/>
          <w:szCs w:val="22"/>
        </w:rPr>
        <w:t>.</w:t>
      </w:r>
    </w:p>
    <w:p w14:paraId="0BCDF28B" w14:textId="77777777" w:rsidR="007A1F5A" w:rsidRPr="007A1F5A" w:rsidRDefault="007A1F5A" w:rsidP="007A1F5A">
      <w:pPr>
        <w:pStyle w:val="Prrafodelista"/>
        <w:tabs>
          <w:tab w:val="left" w:pos="426"/>
        </w:tabs>
        <w:ind w:left="0"/>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DEL 16 DE MARZO DE 2017.</w:t>
      </w:r>
    </w:p>
    <w:p w14:paraId="76DE872C" w14:textId="77777777" w:rsidR="0072763A" w:rsidRPr="002D04BA" w:rsidRDefault="0072763A" w:rsidP="0087385B">
      <w:pPr>
        <w:pStyle w:val="Prrafodelista"/>
        <w:tabs>
          <w:tab w:val="left" w:pos="426"/>
        </w:tabs>
        <w:ind w:left="0"/>
        <w:jc w:val="both"/>
        <w:rPr>
          <w:rFonts w:ascii="Arial" w:hAnsi="Arial" w:cs="Arial"/>
          <w:sz w:val="22"/>
          <w:szCs w:val="22"/>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7AE436ED" w14:textId="77777777" w:rsidR="0072763A" w:rsidRPr="002D04BA" w:rsidRDefault="0072763A" w:rsidP="0087385B">
      <w:pPr>
        <w:pStyle w:val="Prrafodelista"/>
        <w:tabs>
          <w:tab w:val="left" w:pos="567"/>
        </w:tabs>
        <w:ind w:left="0"/>
        <w:jc w:val="both"/>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14:paraId="3517743D" w14:textId="77777777" w:rsidR="0072763A" w:rsidRPr="002D04BA" w:rsidRDefault="0072763A" w:rsidP="0087385B">
      <w:pPr>
        <w:jc w:val="both"/>
        <w:rPr>
          <w:rFonts w:ascii="Arial" w:hAnsi="Arial" w:cs="Arial"/>
          <w:sz w:val="22"/>
          <w:szCs w:val="22"/>
        </w:rPr>
      </w:pPr>
    </w:p>
    <w:p w14:paraId="5FD310B0" w14:textId="77777777"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3F34298C" w14:textId="77777777" w:rsidR="00EC60C2" w:rsidRDefault="00EC60C2"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2D04BA" w:rsidRDefault="009B0E85" w:rsidP="009B0E85">
      <w:pPr>
        <w:jc w:val="right"/>
        <w:rPr>
          <w:rFonts w:ascii="Arial" w:hAnsi="Arial" w:cs="Arial"/>
          <w:sz w:val="22"/>
          <w:szCs w:val="22"/>
        </w:rPr>
      </w:pPr>
      <w:r>
        <w:rPr>
          <w:rFonts w:asciiTheme="minorHAnsi" w:hAnsiTheme="minorHAnsi" w:cstheme="minorHAnsi"/>
          <w:bCs/>
          <w:color w:val="0070C0"/>
          <w:sz w:val="16"/>
          <w:szCs w:val="16"/>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68840F9D"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14:paraId="2D57F691" w14:textId="77777777" w:rsidR="0072763A" w:rsidRPr="002D04BA" w:rsidRDefault="0072763A" w:rsidP="0087385B">
      <w:pPr>
        <w:jc w:val="both"/>
        <w:rPr>
          <w:rFonts w:ascii="Arial" w:hAnsi="Arial" w:cs="Arial"/>
          <w:sz w:val="22"/>
          <w:szCs w:val="22"/>
        </w:rPr>
      </w:pPr>
    </w:p>
    <w:p w14:paraId="229AEE2C"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2CAFCB21"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6F106CDA"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14:paraId="642CEC6A"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77777777"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F65A14" w:rsidRPr="00F65A14">
        <w:rPr>
          <w:rFonts w:ascii="Arial" w:hAnsi="Arial" w:cs="Arial"/>
          <w:color w:val="000000"/>
          <w:sz w:val="22"/>
        </w:rPr>
        <w:t>El Congreso del Estado, por sí o a solicitud de una cuarta parte de sus miembros, podrá citar a los Secretarios del Despacho del Ejecutivo, al Fiscal General, a los titulares de las Entidades de la Administración Pública Estatal y a los titulares de los Organismos a los que esta Constitución reconoce autonomía para que comparezcan, rindan informe, o respondan a los cuestionamientos que les formule el Congreso del Estado, previa solventación del procedimiento que fije la ley o el acuerdo parlamentario correspondiente.</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lastRenderedPageBreak/>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114E44CE"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Los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D26B31" w:rsidRDefault="00F65A14" w:rsidP="00F65A14">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0BDE8123" w14:textId="77777777" w:rsidR="00243737" w:rsidRDefault="00243737" w:rsidP="00F65A14">
      <w:pPr>
        <w:jc w:val="both"/>
        <w:rPr>
          <w:rFonts w:ascii="Arial" w:hAnsi="Arial" w:cs="Arial"/>
          <w:b/>
          <w:sz w:val="22"/>
          <w:szCs w:val="22"/>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7777777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Pr="00011408" w:rsidRDefault="00023E6E" w:rsidP="0087385B">
      <w:pPr>
        <w:jc w:val="right"/>
        <w:rPr>
          <w:rFonts w:asciiTheme="minorHAnsi" w:hAnsiTheme="minorHAnsi" w:cs="Arial"/>
          <w:iCs/>
          <w:color w:val="0070C0"/>
          <w:sz w:val="16"/>
          <w:szCs w:val="16"/>
        </w:rPr>
      </w:pPr>
      <w:r w:rsidRPr="00011408">
        <w:rPr>
          <w:rFonts w:asciiTheme="minorHAnsi" w:hAnsiTheme="minorHAnsi" w:cs="Arial"/>
          <w:iCs/>
          <w:color w:val="0070C0"/>
          <w:sz w:val="16"/>
          <w:szCs w:val="16"/>
        </w:rPr>
        <w:t>PÁRRAFO</w:t>
      </w:r>
      <w:r w:rsidR="00236966" w:rsidRPr="00011408">
        <w:rPr>
          <w:rFonts w:asciiTheme="minorHAnsi" w:hAnsiTheme="minorHAnsi" w:cs="Arial"/>
          <w:iCs/>
          <w:color w:val="0070C0"/>
          <w:sz w:val="16"/>
          <w:szCs w:val="16"/>
        </w:rPr>
        <w:t xml:space="preserve"> REFORMADO POR DEC. 128</w:t>
      </w:r>
      <w:r w:rsidR="00381F49" w:rsidRPr="00011408">
        <w:rPr>
          <w:rFonts w:asciiTheme="minorHAnsi" w:hAnsiTheme="minorHAnsi" w:cs="Arial"/>
          <w:iCs/>
          <w:color w:val="0070C0"/>
          <w:sz w:val="16"/>
          <w:szCs w:val="16"/>
        </w:rPr>
        <w:t>,</w:t>
      </w:r>
      <w:r w:rsidR="00236966" w:rsidRPr="00011408">
        <w:rPr>
          <w:rFonts w:asciiTheme="minorHAnsi" w:hAnsiTheme="minorHAnsi" w:cs="Arial"/>
          <w:iCs/>
          <w:color w:val="0070C0"/>
          <w:sz w:val="16"/>
          <w:szCs w:val="16"/>
        </w:rPr>
        <w:t xml:space="preserve"> P. O. 19</w:t>
      </w:r>
      <w:r w:rsidR="00381F49" w:rsidRPr="00011408">
        <w:rPr>
          <w:rFonts w:asciiTheme="minorHAnsi" w:hAnsiTheme="minorHAnsi" w:cs="Arial"/>
          <w:iCs/>
          <w:color w:val="0070C0"/>
          <w:sz w:val="16"/>
          <w:szCs w:val="16"/>
        </w:rPr>
        <w:t>,</w:t>
      </w:r>
      <w:r w:rsidR="00236966" w:rsidRPr="00011408">
        <w:rPr>
          <w:rFonts w:asciiTheme="minorHAnsi" w:hAnsiTheme="minorHAnsi" w:cs="Arial"/>
          <w:iCs/>
          <w:color w:val="0070C0"/>
          <w:sz w:val="16"/>
          <w:szCs w:val="16"/>
        </w:rPr>
        <w:t xml:space="preserve"> 6 DE MARZO DE 2014</w:t>
      </w:r>
      <w:r w:rsidR="00381F49" w:rsidRPr="00011408">
        <w:rPr>
          <w:rFonts w:asciiTheme="minorHAnsi" w:hAnsiTheme="minorHAnsi" w:cs="Arial"/>
          <w:iCs/>
          <w:color w:val="0070C0"/>
          <w:sz w:val="16"/>
          <w:szCs w:val="16"/>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05819B77" w:rsidR="00D42141" w:rsidRDefault="00011408" w:rsidP="007A1F5A">
      <w:pPr>
        <w:jc w:val="both"/>
        <w:rPr>
          <w:rFonts w:ascii="Arial" w:hAnsi="Arial" w:cs="Arial"/>
          <w:sz w:val="22"/>
          <w:szCs w:val="22"/>
        </w:rPr>
      </w:pPr>
      <w:r w:rsidRPr="00011408">
        <w:rPr>
          <w:rFonts w:ascii="Arial" w:hAnsi="Arial" w:cs="Arial"/>
          <w:sz w:val="22"/>
          <w:szCs w:val="22"/>
          <w:lang w:val="es-ES"/>
        </w:rPr>
        <w:t>La Fiscalía Especializada en Combate a la Corrupción, contará con autonomía técnica y operativa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p>
    <w:p w14:paraId="12888409" w14:textId="7D63B391" w:rsidR="007A1F5A" w:rsidRPr="00011408" w:rsidRDefault="007A1F5A" w:rsidP="007A1F5A">
      <w:pPr>
        <w:jc w:val="right"/>
        <w:rPr>
          <w:rFonts w:asciiTheme="minorHAnsi" w:hAnsiTheme="minorHAnsi" w:cs="Arial"/>
          <w:color w:val="0070C0"/>
          <w:sz w:val="16"/>
          <w:szCs w:val="16"/>
        </w:rPr>
      </w:pPr>
      <w:r w:rsidRPr="00011408">
        <w:rPr>
          <w:rFonts w:asciiTheme="minorHAnsi" w:hAnsiTheme="minorHAnsi" w:cs="Arial"/>
          <w:color w:val="0070C0"/>
          <w:sz w:val="16"/>
          <w:szCs w:val="16"/>
        </w:rPr>
        <w:t>REFORMADO POR DEC. 119 P.O. 22 DEL 16 DE MARZO DE 2017.</w:t>
      </w:r>
    </w:p>
    <w:p w14:paraId="74ECB224" w14:textId="06F9852B" w:rsidR="00011408" w:rsidRPr="00011408" w:rsidRDefault="00011408" w:rsidP="007A1F5A">
      <w:pPr>
        <w:jc w:val="right"/>
        <w:rPr>
          <w:rFonts w:asciiTheme="minorHAnsi" w:hAnsiTheme="minorHAnsi" w:cs="Arial"/>
          <w:color w:val="0070C0"/>
          <w:sz w:val="16"/>
          <w:szCs w:val="16"/>
        </w:rPr>
      </w:pPr>
      <w:r>
        <w:rPr>
          <w:rFonts w:asciiTheme="minorHAnsi" w:hAnsiTheme="minorHAnsi" w:cs="Arial"/>
          <w:color w:val="0070C0"/>
          <w:sz w:val="16"/>
          <w:szCs w:val="16"/>
        </w:rPr>
        <w:t>168</w:t>
      </w:r>
    </w:p>
    <w:p w14:paraId="1A3E0D09" w14:textId="77777777" w:rsidR="00D42141" w:rsidRDefault="00D42141" w:rsidP="0087385B">
      <w:pPr>
        <w:jc w:val="both"/>
        <w:rPr>
          <w:rFonts w:ascii="Arial" w:hAnsi="Arial" w:cs="Arial"/>
          <w:b/>
          <w:sz w:val="22"/>
          <w:szCs w:val="22"/>
        </w:rPr>
      </w:pPr>
    </w:p>
    <w:p w14:paraId="5986DBD9"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lastRenderedPageBreak/>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14:paraId="25ACFBE9" w14:textId="77777777" w:rsidR="0072763A" w:rsidRPr="002D04BA" w:rsidRDefault="0072763A" w:rsidP="0087385B">
      <w:pPr>
        <w:jc w:val="both"/>
        <w:rPr>
          <w:rFonts w:ascii="Arial" w:hAnsi="Arial" w:cs="Arial"/>
          <w:sz w:val="22"/>
          <w:szCs w:val="22"/>
        </w:rPr>
      </w:pP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Default="00895B42"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13A3C690" w14:textId="77777777" w:rsidR="00895B42" w:rsidRPr="00895B42" w:rsidRDefault="00895B42" w:rsidP="00895B42">
      <w:pPr>
        <w:jc w:val="right"/>
        <w:rPr>
          <w:rFonts w:ascii="Arial" w:hAnsi="Arial" w:cs="Arial"/>
          <w:color w:val="000000"/>
        </w:rPr>
      </w:pPr>
    </w:p>
    <w:p w14:paraId="0D05441A"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14:paraId="1E125F5B" w14:textId="77777777" w:rsidR="0072763A" w:rsidRPr="002D04BA" w:rsidRDefault="0072763A" w:rsidP="0087385B">
      <w:pPr>
        <w:jc w:val="both"/>
        <w:rPr>
          <w:rFonts w:ascii="Arial" w:hAnsi="Arial" w:cs="Arial"/>
          <w:sz w:val="22"/>
          <w:szCs w:val="22"/>
        </w:rPr>
      </w:pPr>
    </w:p>
    <w:p w14:paraId="41E0EB98"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14:paraId="6CBAEF45" w14:textId="77777777" w:rsidR="0072763A" w:rsidRPr="002D04BA" w:rsidRDefault="0072763A" w:rsidP="0087385B">
      <w:pPr>
        <w:pStyle w:val="Prrafodelista"/>
        <w:tabs>
          <w:tab w:val="left" w:pos="426"/>
        </w:tabs>
        <w:ind w:left="0"/>
        <w:rPr>
          <w:rFonts w:ascii="Arial" w:hAnsi="Arial" w:cs="Arial"/>
          <w:sz w:val="22"/>
          <w:szCs w:val="22"/>
        </w:rPr>
      </w:pP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660C142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86CFF31" w14:textId="77777777" w:rsidR="0072763A" w:rsidRPr="002D04BA" w:rsidRDefault="0072763A" w:rsidP="0087385B">
      <w:pPr>
        <w:pStyle w:val="Prrafodelista"/>
        <w:tabs>
          <w:tab w:val="left" w:pos="426"/>
        </w:tabs>
        <w:ind w:left="0"/>
        <w:jc w:val="both"/>
        <w:rPr>
          <w:rFonts w:ascii="Arial" w:hAnsi="Arial" w:cs="Arial"/>
          <w:sz w:val="22"/>
          <w:szCs w:val="22"/>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el desempeño de sus funciones resolverá las contiendas o controversias de naturaleza jurídica, que se sometan a su conocimiento, aplicando la normatividad establecida en la legislación común en vigor </w:t>
      </w:r>
      <w:r w:rsidRPr="002D04BA">
        <w:rPr>
          <w:rFonts w:ascii="Arial" w:hAnsi="Arial" w:cs="Arial"/>
          <w:sz w:val="22"/>
          <w:szCs w:val="22"/>
        </w:rPr>
        <w:lastRenderedPageBreak/>
        <w:t>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14:paraId="07DEB1FD" w14:textId="77777777" w:rsidR="0072763A" w:rsidRPr="002D04BA" w:rsidRDefault="0072763A" w:rsidP="0087385B">
      <w:pPr>
        <w:pStyle w:val="Prrafodelista"/>
        <w:tabs>
          <w:tab w:val="left" w:pos="426"/>
        </w:tabs>
        <w:ind w:left="0"/>
        <w:jc w:val="both"/>
        <w:rPr>
          <w:rFonts w:ascii="Arial" w:hAnsi="Arial" w:cs="Arial"/>
          <w:sz w:val="22"/>
          <w:szCs w:val="22"/>
        </w:rPr>
      </w:pPr>
    </w:p>
    <w:p w14:paraId="055EEA9D" w14:textId="77777777"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0CE204A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14:paraId="55D86F86" w14:textId="77777777" w:rsidR="0072763A" w:rsidRPr="002D04BA" w:rsidRDefault="0072763A" w:rsidP="0087385B">
      <w:pPr>
        <w:jc w:val="both"/>
        <w:rPr>
          <w:rFonts w:ascii="Arial" w:hAnsi="Arial" w:cs="Arial"/>
          <w:sz w:val="22"/>
          <w:szCs w:val="22"/>
        </w:rPr>
      </w:pPr>
    </w:p>
    <w:p w14:paraId="6B3B5C1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5DD6611F"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0458CC70" w14:textId="77777777" w:rsidR="0072763A" w:rsidRPr="002D04BA" w:rsidRDefault="0072763A" w:rsidP="0087385B">
      <w:pPr>
        <w:pStyle w:val="Prrafodelista"/>
        <w:tabs>
          <w:tab w:val="left" w:pos="426"/>
        </w:tabs>
        <w:ind w:left="0"/>
        <w:jc w:val="both"/>
        <w:rPr>
          <w:rFonts w:ascii="Arial" w:hAnsi="Arial" w:cs="Arial"/>
          <w:sz w:val="22"/>
          <w:szCs w:val="22"/>
        </w:rPr>
      </w:pPr>
    </w:p>
    <w:p w14:paraId="5DA7A6E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05ABBC5F" w14:textId="77777777" w:rsidR="0072763A" w:rsidRPr="002D04BA" w:rsidRDefault="0072763A" w:rsidP="0087385B">
      <w:pPr>
        <w:pStyle w:val="Prrafodelista"/>
        <w:tabs>
          <w:tab w:val="left" w:pos="426"/>
        </w:tabs>
        <w:ind w:left="0"/>
        <w:jc w:val="both"/>
        <w:rPr>
          <w:rFonts w:ascii="Arial" w:hAnsi="Arial" w:cs="Arial"/>
          <w:sz w:val="22"/>
          <w:szCs w:val="22"/>
        </w:rPr>
      </w:pPr>
    </w:p>
    <w:p w14:paraId="28662AA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78F17CC0"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6BDCB0C0"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7777777"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2123C3F7" w14:textId="77777777"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14:paraId="74218BF5" w14:textId="77777777" w:rsidR="0072763A" w:rsidRPr="002D04BA" w:rsidRDefault="0072763A" w:rsidP="0087385B">
      <w:pPr>
        <w:tabs>
          <w:tab w:val="left" w:pos="426"/>
        </w:tabs>
        <w:jc w:val="both"/>
        <w:rPr>
          <w:rFonts w:ascii="Arial" w:hAnsi="Arial" w:cs="Arial"/>
          <w:sz w:val="22"/>
          <w:szCs w:val="22"/>
        </w:rPr>
      </w:pPr>
    </w:p>
    <w:p w14:paraId="46031CCE" w14:textId="77777777"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2D00D35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14:paraId="13B97A38" w14:textId="77777777" w:rsidR="0072763A" w:rsidRPr="002D04BA" w:rsidRDefault="0072763A" w:rsidP="0087385B">
      <w:pPr>
        <w:pStyle w:val="Prrafodelista"/>
        <w:tabs>
          <w:tab w:val="left" w:pos="426"/>
        </w:tabs>
        <w:ind w:left="0"/>
        <w:jc w:val="both"/>
        <w:rPr>
          <w:rFonts w:ascii="Arial" w:hAnsi="Arial" w:cs="Arial"/>
          <w:sz w:val="22"/>
          <w:szCs w:val="22"/>
        </w:rPr>
      </w:pPr>
    </w:p>
    <w:p w14:paraId="4D926B3E"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14:paraId="05290C82" w14:textId="77777777" w:rsidR="0072763A" w:rsidRPr="002D04BA" w:rsidRDefault="0072763A" w:rsidP="0087385B">
      <w:pPr>
        <w:pStyle w:val="Prrafodelista"/>
        <w:tabs>
          <w:tab w:val="left" w:pos="426"/>
        </w:tabs>
        <w:ind w:left="0"/>
        <w:jc w:val="both"/>
        <w:rPr>
          <w:rFonts w:ascii="Arial" w:hAnsi="Arial" w:cs="Arial"/>
          <w:sz w:val="22"/>
          <w:szCs w:val="22"/>
        </w:rPr>
      </w:pPr>
    </w:p>
    <w:p w14:paraId="12D188AF"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14:paraId="0B75508F" w14:textId="77777777" w:rsidR="00381F49" w:rsidRPr="002D04BA" w:rsidRDefault="00381F49" w:rsidP="0087385B">
      <w:pPr>
        <w:tabs>
          <w:tab w:val="left" w:pos="426"/>
        </w:tabs>
        <w:jc w:val="both"/>
        <w:rPr>
          <w:rFonts w:ascii="Arial" w:hAnsi="Arial" w:cs="Arial"/>
          <w:sz w:val="22"/>
          <w:szCs w:val="22"/>
        </w:rPr>
      </w:pPr>
    </w:p>
    <w:p w14:paraId="2EA02D2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813B62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14:paraId="7740D4D4" w14:textId="77777777" w:rsidR="0072763A" w:rsidRPr="002D04BA" w:rsidRDefault="0072763A" w:rsidP="0087385B">
      <w:pPr>
        <w:pStyle w:val="Prrafodelista"/>
        <w:tabs>
          <w:tab w:val="left" w:pos="426"/>
        </w:tabs>
        <w:ind w:left="0"/>
        <w:rPr>
          <w:rFonts w:ascii="Arial" w:hAnsi="Arial" w:cs="Arial"/>
          <w:sz w:val="22"/>
          <w:szCs w:val="22"/>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w:t>
      </w:r>
      <w:r w:rsidR="00B0649D" w:rsidRPr="002D04BA">
        <w:rPr>
          <w:rFonts w:ascii="Arial" w:hAnsi="Arial" w:cs="Arial"/>
          <w:color w:val="000000" w:themeColor="text1"/>
          <w:sz w:val="22"/>
          <w:szCs w:val="22"/>
        </w:rPr>
        <w:lastRenderedPageBreak/>
        <w:t>rendir el informe anual de la situación que guarda la administración de justicia, así como las que el propio Pleno acuerde en ese sentido.</w:t>
      </w:r>
    </w:p>
    <w:p w14:paraId="4A7435EB" w14:textId="77777777"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Conceder licencias a los magistrados para separarse de su cargo en los términos de </w:t>
      </w:r>
      <w:r w:rsidR="00645750" w:rsidRPr="002D04BA">
        <w:rPr>
          <w:rFonts w:ascii="Arial" w:hAnsi="Arial" w:cs="Arial"/>
          <w:sz w:val="22"/>
          <w:szCs w:val="22"/>
        </w:rPr>
        <w:t>ley, y</w:t>
      </w:r>
      <w:r w:rsidRPr="002D04BA">
        <w:rPr>
          <w:rFonts w:ascii="Arial" w:hAnsi="Arial" w:cs="Arial"/>
          <w:sz w:val="22"/>
          <w:szCs w:val="22"/>
        </w:rPr>
        <w:t xml:space="preserve"> que sean diferentes a las previstas en el artículo 107 de esta Constitución.</w:t>
      </w:r>
    </w:p>
    <w:p w14:paraId="00766F3F" w14:textId="77777777" w:rsidR="0072763A" w:rsidRPr="002D04BA" w:rsidRDefault="0072763A" w:rsidP="0087385B">
      <w:pPr>
        <w:pStyle w:val="Prrafodelista"/>
        <w:tabs>
          <w:tab w:val="left" w:pos="426"/>
        </w:tabs>
        <w:ind w:left="0"/>
        <w:jc w:val="both"/>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1F57810A" w14:textId="77777777" w:rsidR="000C6D7D" w:rsidRDefault="000C6D7D" w:rsidP="0087385B">
      <w:pPr>
        <w:pStyle w:val="Prrafodelista"/>
        <w:tabs>
          <w:tab w:val="left" w:pos="426"/>
        </w:tabs>
        <w:ind w:left="0"/>
        <w:rPr>
          <w:rFonts w:ascii="Arial" w:hAnsi="Arial" w:cs="Arial"/>
          <w:b/>
          <w:sz w:val="22"/>
          <w:szCs w:val="22"/>
        </w:rPr>
      </w:pP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77777777" w:rsidR="00475AC4" w:rsidRPr="00475AC4" w:rsidRDefault="00475AC4" w:rsidP="00475AC4">
      <w:pPr>
        <w:pStyle w:val="Prrafodelista"/>
        <w:tabs>
          <w:tab w:val="left" w:pos="426"/>
        </w:tabs>
        <w:ind w:left="0"/>
        <w:jc w:val="right"/>
        <w:rPr>
          <w:rFonts w:asciiTheme="minorHAnsi" w:hAnsiTheme="minorHAnsi" w:cs="Arial"/>
          <w:i/>
          <w:sz w:val="14"/>
          <w:szCs w:val="22"/>
        </w:rPr>
      </w:pPr>
    </w:p>
    <w:p w14:paraId="14ECA148" w14:textId="77777777" w:rsidR="00962926" w:rsidRPr="002D04BA" w:rsidRDefault="00962926" w:rsidP="0087385B">
      <w:pPr>
        <w:pStyle w:val="Prrafodelista"/>
        <w:tabs>
          <w:tab w:val="left" w:pos="426"/>
        </w:tabs>
        <w:ind w:left="0"/>
        <w:rPr>
          <w:rFonts w:ascii="Arial" w:hAnsi="Arial" w:cs="Arial"/>
          <w:sz w:val="22"/>
          <w:szCs w:val="22"/>
        </w:rPr>
      </w:pPr>
    </w:p>
    <w:p w14:paraId="54F40E7D" w14:textId="77777777" w:rsidR="0072763A" w:rsidRDefault="00962926" w:rsidP="00962926">
      <w:pPr>
        <w:pStyle w:val="Ttulo4"/>
      </w:pPr>
      <w:r w:rsidRPr="00962926">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lastRenderedPageBreak/>
        <w:t>SECCION DEROGADA POR DEC. 119  P.O.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77777777"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Pr>
          <w:rFonts w:ascii="Arial" w:hAnsi="Arial" w:cs="Arial"/>
          <w:b/>
          <w:sz w:val="22"/>
          <w:szCs w:val="22"/>
        </w:rPr>
        <w:t xml:space="preserve"> </w:t>
      </w:r>
      <w:r w:rsidR="003E1C11" w:rsidRPr="003E1C11">
        <w:rPr>
          <w:rFonts w:ascii="Arial" w:hAnsi="Arial" w:cs="Arial"/>
          <w:sz w:val="22"/>
          <w:szCs w:val="22"/>
          <w:lang w:val="es-MX"/>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04F55948"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r w:rsidRPr="003E1C11">
        <w:rPr>
          <w:rFonts w:ascii="Arial" w:hAnsi="Arial" w:cs="Arial"/>
          <w:sz w:val="22"/>
          <w:szCs w:val="22"/>
          <w:lang w:val="es-MX" w:eastAsia="es-MX"/>
        </w:rPr>
        <w:t xml:space="preserve">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536ED0D5" w14:textId="77777777" w:rsidR="003E1C11" w:rsidRPr="003E1C11" w:rsidRDefault="003E1C11" w:rsidP="003E1C11">
      <w:pPr>
        <w:tabs>
          <w:tab w:val="left" w:pos="426"/>
        </w:tabs>
        <w:spacing w:after="200"/>
        <w:contextualSpacing/>
        <w:jc w:val="both"/>
        <w:rPr>
          <w:rFonts w:ascii="Arial" w:hAnsi="Arial" w:cs="Arial"/>
          <w:sz w:val="22"/>
          <w:szCs w:val="22"/>
          <w:lang w:val="es-MX" w:eastAsia="es-MX"/>
        </w:rPr>
      </w:pPr>
    </w:p>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REFORMADO POR DEC. 119  P.O.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18EA3F05" w14:textId="77777777" w:rsidR="00962926" w:rsidRPr="002D04BA" w:rsidRDefault="00962926" w:rsidP="00962926">
      <w:pPr>
        <w:tabs>
          <w:tab w:val="left" w:pos="426"/>
        </w:tabs>
        <w:jc w:val="both"/>
        <w:rPr>
          <w:rFonts w:ascii="Arial" w:hAnsi="Arial" w:cs="Arial"/>
          <w:sz w:val="22"/>
          <w:szCs w:val="22"/>
        </w:rPr>
      </w:pP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lastRenderedPageBreak/>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75C5C03A"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 xml:space="preserve">Los jueces del Tribunal de Justicia Laboral deberán contar con capacidad y experiencia en materia laboral, sus sentencias y resoluciones deberán observar los principios de legalidad, imparcialidad, transparencia, autonomía e independencia. </w:t>
      </w:r>
    </w:p>
    <w:p w14:paraId="3E6C75EB" w14:textId="77777777" w:rsidR="00EC60C2" w:rsidRPr="00EC60C2" w:rsidRDefault="00EC60C2" w:rsidP="00EC60C2">
      <w:pPr>
        <w:tabs>
          <w:tab w:val="left" w:pos="426"/>
        </w:tabs>
        <w:jc w:val="both"/>
        <w:rPr>
          <w:rFonts w:ascii="Arial" w:hAnsi="Arial" w:cs="Arial"/>
          <w:sz w:val="22"/>
          <w:szCs w:val="22"/>
          <w:lang w:val="es-ES"/>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70CA55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1718EBD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0CCAF4C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14:paraId="611C4E4D" w14:textId="77777777" w:rsidR="0072763A" w:rsidRPr="002D04BA" w:rsidRDefault="0072763A"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14:paraId="3ED3F1D7" w14:textId="77777777" w:rsidR="0072763A" w:rsidRPr="002D04BA" w:rsidRDefault="0072763A" w:rsidP="00962926">
      <w:pPr>
        <w:pStyle w:val="Prrafodelista"/>
        <w:tabs>
          <w:tab w:val="left" w:pos="426"/>
        </w:tabs>
        <w:ind w:left="0"/>
        <w:jc w:val="both"/>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A13B15" w14:textId="77777777" w:rsidR="00F6067E" w:rsidRPr="002D04BA" w:rsidRDefault="00F6067E"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3F9F292A" w14:textId="77777777"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14:paraId="57FB0DC4" w14:textId="77777777" w:rsidR="00111E38" w:rsidRPr="002D04BA" w:rsidRDefault="00111E38" w:rsidP="0087385B">
      <w:pPr>
        <w:pStyle w:val="Prrafodelista"/>
        <w:tabs>
          <w:tab w:val="left" w:pos="426"/>
        </w:tabs>
        <w:ind w:left="0"/>
        <w:jc w:val="both"/>
        <w:rPr>
          <w:rFonts w:ascii="Arial" w:hAnsi="Arial" w:cs="Arial"/>
          <w:b/>
          <w:sz w:val="22"/>
          <w:szCs w:val="22"/>
        </w:rPr>
      </w:pPr>
    </w:p>
    <w:p w14:paraId="554C0C6A"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14:paraId="61853425" w14:textId="77777777" w:rsidR="0072763A" w:rsidRPr="002D04BA" w:rsidRDefault="0072763A" w:rsidP="00F6067E">
      <w:pPr>
        <w:pStyle w:val="Prrafodelista"/>
        <w:tabs>
          <w:tab w:val="left" w:pos="426"/>
        </w:tabs>
        <w:ind w:left="0"/>
        <w:jc w:val="both"/>
        <w:rPr>
          <w:rFonts w:ascii="Arial" w:hAnsi="Arial" w:cs="Arial"/>
          <w:sz w:val="22"/>
          <w:szCs w:val="22"/>
        </w:rPr>
      </w:pPr>
    </w:p>
    <w:p w14:paraId="4E2E5006"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14:paraId="61C0D530" w14:textId="77777777" w:rsidR="0072763A" w:rsidRPr="002D04BA" w:rsidRDefault="0072763A" w:rsidP="0087385B">
      <w:pPr>
        <w:pStyle w:val="Prrafodelista"/>
        <w:tabs>
          <w:tab w:val="left" w:pos="426"/>
        </w:tabs>
        <w:ind w:left="0"/>
        <w:rPr>
          <w:rFonts w:ascii="Arial" w:hAnsi="Arial" w:cs="Arial"/>
          <w:sz w:val="22"/>
          <w:szCs w:val="22"/>
        </w:rPr>
      </w:pP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7525D1B0"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14:paraId="46EA3251" w14:textId="77777777" w:rsidR="0072763A" w:rsidRPr="002D04BA" w:rsidRDefault="0072763A" w:rsidP="00F6067E">
      <w:pPr>
        <w:pStyle w:val="Prrafodelista"/>
        <w:tabs>
          <w:tab w:val="left" w:pos="426"/>
        </w:tabs>
        <w:ind w:left="0"/>
        <w:jc w:val="both"/>
        <w:rPr>
          <w:rFonts w:ascii="Arial" w:hAnsi="Arial" w:cs="Arial"/>
          <w:sz w:val="22"/>
          <w:szCs w:val="22"/>
        </w:rPr>
      </w:pP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64775C5F" w14:textId="77777777" w:rsidR="00515B18" w:rsidRPr="002D04BA" w:rsidRDefault="00515B18" w:rsidP="0087385B">
      <w:pPr>
        <w:pStyle w:val="Prrafodelista"/>
        <w:tabs>
          <w:tab w:val="left" w:pos="426"/>
        </w:tabs>
        <w:ind w:left="0"/>
        <w:jc w:val="both"/>
        <w:rPr>
          <w:rFonts w:ascii="Arial" w:hAnsi="Arial" w:cs="Arial"/>
          <w:sz w:val="22"/>
          <w:szCs w:val="22"/>
        </w:rPr>
      </w:pP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74B750C0" w14:textId="77777777" w:rsidR="0072763A" w:rsidRPr="002D04BA" w:rsidRDefault="0072763A" w:rsidP="0087385B">
      <w:pPr>
        <w:tabs>
          <w:tab w:val="left" w:pos="426"/>
        </w:tabs>
        <w:jc w:val="both"/>
        <w:rPr>
          <w:rFonts w:ascii="Arial" w:hAnsi="Arial" w:cs="Arial"/>
          <w:sz w:val="22"/>
          <w:szCs w:val="22"/>
        </w:rPr>
      </w:pP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REFORMADO POR DEC. 119  P.O. 22 DEL 16 DE MARZO DE 2017.</w:t>
      </w:r>
    </w:p>
    <w:p w14:paraId="2A1A53F8" w14:textId="77777777" w:rsidR="0072763A" w:rsidRPr="002D04BA" w:rsidRDefault="0072763A" w:rsidP="0087385B">
      <w:pPr>
        <w:jc w:val="both"/>
        <w:rPr>
          <w:rFonts w:ascii="Arial" w:hAnsi="Arial" w:cs="Arial"/>
          <w:sz w:val="22"/>
          <w:szCs w:val="22"/>
        </w:rPr>
      </w:pPr>
    </w:p>
    <w:p w14:paraId="4F141D98" w14:textId="77777777"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lastRenderedPageBreak/>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14:paraId="51C03B84" w14:textId="77777777" w:rsidR="0072763A" w:rsidRPr="002D04BA" w:rsidRDefault="0072763A" w:rsidP="0087385B">
      <w:pPr>
        <w:jc w:val="both"/>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6E9BC523"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8E6B2FE" w14:textId="77777777" w:rsidR="0072763A" w:rsidRPr="002D04BA" w:rsidRDefault="0072763A" w:rsidP="0087385B">
      <w:pPr>
        <w:jc w:val="both"/>
        <w:rPr>
          <w:rFonts w:ascii="Arial" w:hAnsi="Arial" w:cs="Arial"/>
          <w:sz w:val="22"/>
          <w:szCs w:val="22"/>
        </w:rPr>
      </w:pP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7777777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14:paraId="7599733E" w14:textId="77777777"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14:paraId="2C7D8B75" w14:textId="77777777"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14:paraId="46491389" w14:textId="77777777"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lastRenderedPageBreak/>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119  P.O.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DEROGADO POR DEC. 119  P.O.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DEROGADO POR DEC. 119  P.O.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3E1C11" w:rsidRDefault="00F6067E" w:rsidP="00DE2DDE">
      <w:pPr>
        <w:pStyle w:val="Ttulo2"/>
      </w:pPr>
      <w:r w:rsidRPr="003E1C11">
        <w:t>TÍTULO SEXTO</w:t>
      </w:r>
    </w:p>
    <w:p w14:paraId="1713046B" w14:textId="77777777" w:rsidR="0072763A" w:rsidRPr="003E1C11" w:rsidRDefault="00F6067E" w:rsidP="00DE2DDE">
      <w:pPr>
        <w:pStyle w:val="Ttulo2"/>
      </w:pPr>
      <w:r w:rsidRPr="003E1C11">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14:paraId="2A76A7B0" w14:textId="77777777" w:rsidR="0072763A" w:rsidRPr="002D04BA" w:rsidRDefault="0072763A" w:rsidP="0087385B">
      <w:pPr>
        <w:jc w:val="both"/>
        <w:rPr>
          <w:rFonts w:ascii="Arial" w:hAnsi="Arial" w:cs="Arial"/>
          <w:sz w:val="22"/>
          <w:szCs w:val="22"/>
        </w:rPr>
      </w:pP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62A3E047" w14:textId="77777777" w:rsidR="0072763A" w:rsidRPr="002D04BA" w:rsidRDefault="0072763A" w:rsidP="0087385B">
      <w:pPr>
        <w:jc w:val="both"/>
        <w:rPr>
          <w:rFonts w:ascii="Arial" w:hAnsi="Arial" w:cs="Arial"/>
          <w:sz w:val="22"/>
          <w:szCs w:val="22"/>
        </w:rPr>
      </w:pPr>
    </w:p>
    <w:p w14:paraId="43DFE546" w14:textId="77777777"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14:paraId="7F6B9454" w14:textId="77777777"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lastRenderedPageBreak/>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5D265B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14:paraId="23A11486" w14:textId="77777777" w:rsidR="0072763A" w:rsidRPr="002D04BA" w:rsidRDefault="0072763A" w:rsidP="0087385B">
      <w:pPr>
        <w:jc w:val="both"/>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 xml:space="preserve">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w:t>
      </w:r>
      <w:r w:rsidR="0072763A" w:rsidRPr="002D04BA">
        <w:rPr>
          <w:rFonts w:ascii="Arial" w:hAnsi="Arial" w:cs="Arial"/>
          <w:sz w:val="22"/>
          <w:szCs w:val="22"/>
        </w:rPr>
        <w:lastRenderedPageBreak/>
        <w:t>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43DBC9AD" w14:textId="77777777" w:rsidR="00D1265B" w:rsidRPr="002D04BA" w:rsidRDefault="00D1265B" w:rsidP="0087385B">
      <w:pPr>
        <w:jc w:val="center"/>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119  P.O.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ED98249" w14:textId="77777777" w:rsidR="0072763A" w:rsidRPr="002D04BA" w:rsidRDefault="0072763A" w:rsidP="0087385B">
      <w:pPr>
        <w:pStyle w:val="Prrafodelista"/>
        <w:tabs>
          <w:tab w:val="left" w:pos="567"/>
        </w:tabs>
        <w:ind w:left="0"/>
        <w:rPr>
          <w:rFonts w:ascii="Arial" w:hAnsi="Arial" w:cs="Arial"/>
          <w:sz w:val="22"/>
          <w:szCs w:val="22"/>
        </w:rPr>
      </w:pP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 xml:space="preserve">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w:t>
      </w:r>
      <w:r w:rsidR="00FF315D" w:rsidRPr="00FF315D">
        <w:rPr>
          <w:rFonts w:ascii="Arial" w:hAnsi="Arial" w:cs="Arial"/>
          <w:sz w:val="22"/>
          <w:szCs w:val="22"/>
          <w:lang w:val="es-ES"/>
        </w:rPr>
        <w:lastRenderedPageBreak/>
        <w:t>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F52D77">
      <w:pPr>
        <w:jc w:val="center"/>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lastRenderedPageBreak/>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REFORMADO POR DEC. 119  P.O.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ARTICULO REFORMADO POR DEC. 212  P.O.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ARTÍCULO 163 BIS</w:t>
      </w:r>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ADICIONADO POR DEC. 119  P.O.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ARTÍCULO 163 TER</w:t>
      </w:r>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ARTÍCULO 163 QUÁTER</w:t>
      </w:r>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7306345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5013099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Un representante del Consejo de Participación Ciudadana, quien lo presidirá; </w:t>
      </w:r>
    </w:p>
    <w:p w14:paraId="0564600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 El titular de la Entidad de Auditoría Superior del Estado;</w:t>
      </w:r>
    </w:p>
    <w:p w14:paraId="76C54C93"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III. El titular de la Fiscalía Especializada en Combate a la Corrupción;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El Comisionado Presidente del Instituto Duranguense de Acceso a la Información y Protección de Datos Personales, y </w:t>
      </w:r>
    </w:p>
    <w:p w14:paraId="3D94DA78"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El Presidente del Tribunal de Justicia Administrativa.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6BF133D1" w14:textId="77777777" w:rsidR="00F52D77" w:rsidRPr="007D5E84" w:rsidRDefault="00F52D77" w:rsidP="00F52D77">
      <w:pPr>
        <w:jc w:val="both"/>
        <w:rPr>
          <w:rFonts w:ascii="Arial" w:hAnsi="Arial" w:cs="Arial"/>
          <w:sz w:val="22"/>
          <w:szCs w:val="22"/>
          <w:lang w:val="es-MX" w:eastAsia="es-MX"/>
        </w:rPr>
      </w:pPr>
    </w:p>
    <w:p w14:paraId="1F5DBDA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lastRenderedPageBreak/>
        <w:t>ARTÍCULO 163 QUINTUS</w:t>
      </w:r>
      <w:r>
        <w:rPr>
          <w:rFonts w:ascii="Arial" w:hAnsi="Arial" w:cs="Arial"/>
          <w:b/>
          <w:sz w:val="22"/>
          <w:szCs w:val="22"/>
          <w:lang w:val="es-MX" w:eastAsia="es-MX"/>
        </w:rPr>
        <w:t xml:space="preserve">.- </w:t>
      </w:r>
      <w:r w:rsidRPr="007D5E84">
        <w:rPr>
          <w:rFonts w:ascii="Arial" w:hAnsi="Arial" w:cs="Arial"/>
          <w:sz w:val="22"/>
          <w:szCs w:val="22"/>
          <w:lang w:val="es-MX" w:eastAsia="es-MX"/>
        </w:rPr>
        <w:t>El Consejo de Participación Ciudadana estará integrado por cinco ciudadanos de probidad y prestigio que se hayan destacado por su contribución a la transparencia, la rendición de cuentas o el combate a la corrupción. El procedimiento para la designación de integrantes deberá ser solventado conforme lo  establezca la Ley de la materia.</w:t>
      </w:r>
    </w:p>
    <w:p w14:paraId="6A40A81F"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p>
    <w:p w14:paraId="4D7E96E9"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Durarán en su encargo cinco años, sin posibilidad de reelección y serán renovados de manera escalonada, y sólo podrán ser removidos por alguna de las causas establecidas en la normatividad relativa a los actos de particulares vinculados con faltas administrativas graves.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POR DEC. 119  P.O. 22 DEL 16 DE MARZO DE 2017</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65957A1D" w14:textId="77777777" w:rsidR="00895B42" w:rsidRPr="00895B42" w:rsidRDefault="00CC71FF" w:rsidP="00895B42">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895B42" w:rsidRPr="00895B42">
        <w:rPr>
          <w:rFonts w:ascii="Arial" w:hAnsi="Arial" w:cs="Arial"/>
          <w:color w:val="000000"/>
          <w:sz w:val="22"/>
        </w:rPr>
        <w:t>El día 1 de septiembre de cada año, el Gobernador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77777777" w:rsidR="0072763A" w:rsidRPr="00895B42" w:rsidRDefault="00895B42" w:rsidP="00895B42">
      <w:pPr>
        <w:jc w:val="right"/>
        <w:rPr>
          <w:rFonts w:ascii="Arial" w:hAnsi="Arial" w:cs="Arial"/>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5F062998"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Los diputados deben rendir un informe anual del ejercicio de sus funciones ante el órgano de gobierno interior del Congreso del Estado, y si así lo estiman pertinente, ante sus representados. Los diputados de mayoría relativa podrán hacerlo, además, ante los ayuntamientos de los municipios comprendidos en sus respectivos distritos electorales.</w:t>
      </w:r>
    </w:p>
    <w:p w14:paraId="0A7694E6" w14:textId="77777777" w:rsidR="00895B42"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023AE585" w14:textId="77777777" w:rsidR="00895B42" w:rsidRPr="00895B42" w:rsidRDefault="00895B42" w:rsidP="00895B42">
      <w:pPr>
        <w:jc w:val="right"/>
        <w:rPr>
          <w:rFonts w:asciiTheme="minorHAnsi" w:hAnsiTheme="minorHAnsi"/>
          <w:i/>
          <w:color w:val="0070C0"/>
          <w:sz w:val="14"/>
        </w:rPr>
      </w:pPr>
    </w:p>
    <w:p w14:paraId="2883C801"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14:paraId="629C9A0B" w14:textId="77777777" w:rsidR="0072763A" w:rsidRPr="002D04BA" w:rsidRDefault="0072763A" w:rsidP="0087385B">
      <w:pPr>
        <w:jc w:val="both"/>
        <w:rPr>
          <w:rFonts w:ascii="Arial" w:hAnsi="Arial" w:cs="Arial"/>
          <w:sz w:val="22"/>
          <w:szCs w:val="22"/>
        </w:rPr>
      </w:pP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089AEABB" w14:textId="77777777" w:rsidR="00BA34A5" w:rsidRPr="00D26B31" w:rsidRDefault="00CC71FF" w:rsidP="00BA34A5">
      <w:pPr>
        <w:jc w:val="both"/>
        <w:rPr>
          <w:rFonts w:ascii="Arial" w:hAnsi="Arial" w:cs="Arial"/>
          <w:color w:val="000000"/>
        </w:rPr>
      </w:pPr>
      <w:r w:rsidRPr="002D04BA">
        <w:rPr>
          <w:rFonts w:ascii="Arial" w:hAnsi="Arial" w:cs="Arial"/>
          <w:b/>
          <w:sz w:val="22"/>
          <w:szCs w:val="22"/>
        </w:rPr>
        <w:lastRenderedPageBreak/>
        <w:t>ARTÍCULO 167.-</w:t>
      </w:r>
      <w:r>
        <w:rPr>
          <w:rFonts w:ascii="Arial" w:hAnsi="Arial" w:cs="Arial"/>
          <w:b/>
          <w:sz w:val="22"/>
          <w:szCs w:val="22"/>
        </w:rPr>
        <w:t xml:space="preserve"> </w:t>
      </w:r>
      <w:r w:rsidR="00BA34A5" w:rsidRPr="00BA34A5">
        <w:rPr>
          <w:rFonts w:ascii="Arial" w:hAnsi="Arial" w:cs="Arial"/>
          <w:color w:val="000000"/>
          <w:sz w:val="22"/>
        </w:rPr>
        <w:t>En la fecha que determine su Ley Orgánica, el Poder Judicial del Estado rendirá el informe anual sobre la situación que guarde la administración de justicia en el Estado, el que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77777777" w:rsidR="0072763A" w:rsidRPr="00BA34A5" w:rsidRDefault="00BA34A5" w:rsidP="00BA34A5">
      <w:pPr>
        <w:jc w:val="right"/>
        <w:rPr>
          <w:rFonts w:ascii="Arial" w:hAnsi="Arial" w:cs="Arial"/>
          <w:b/>
          <w:color w:val="000000"/>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77777777"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14:paraId="1D1B23F5" w14:textId="77777777" w:rsidR="0072763A" w:rsidRPr="002D04BA" w:rsidRDefault="0072763A" w:rsidP="0087385B">
      <w:pPr>
        <w:jc w:val="both"/>
        <w:rPr>
          <w:rFonts w:ascii="Arial" w:hAnsi="Arial" w:cs="Arial"/>
          <w:sz w:val="22"/>
          <w:szCs w:val="22"/>
        </w:rPr>
      </w:pP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236C3231" w14:textId="77777777" w:rsidR="00D1265B" w:rsidRPr="002D04BA" w:rsidRDefault="00D1265B" w:rsidP="0087385B">
      <w:pPr>
        <w:jc w:val="center"/>
        <w:rPr>
          <w:rFonts w:ascii="Arial" w:hAnsi="Arial" w:cs="Arial"/>
          <w:b/>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 xml:space="preserve">Los poderes públicos del Estado, los órganos constitucionales autónomos y los ayuntamientos tienen obligación de rendir anualmente Cuenta Pública ante el Congreso del Estado, </w:t>
      </w:r>
      <w:r w:rsidR="0072763A" w:rsidRPr="002D04BA">
        <w:rPr>
          <w:color w:val="auto"/>
          <w:sz w:val="22"/>
          <w:szCs w:val="22"/>
        </w:rPr>
        <w:lastRenderedPageBreak/>
        <w:t>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5DF91E23" w14:textId="77777777" w:rsidR="00011408" w:rsidRPr="002D04BA" w:rsidRDefault="00011408"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77777777"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130E59" w:rsidRPr="00130E59">
        <w:rPr>
          <w:rFonts w:ascii="Arial" w:eastAsia="Calibri" w:hAnsi="Arial" w:cs="Arial"/>
          <w:sz w:val="22"/>
          <w:szCs w:val="22"/>
          <w:lang w:val="es-ES"/>
        </w:rPr>
        <w:t>El Gobernador del Estado, los secretarios de despacho y los subsecretarios, los recaudadores de rentas, el Fiscal General y los vicefiscales, los diputados, los magistrados, los consejeros de la judicatura, los jueces, los consejeros o comisionados y los secretarios ejecutivos y técnicos de los órganos constitucionales autónomos,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77777777" w:rsidR="0072763A" w:rsidRPr="002D04BA" w:rsidRDefault="0072763A" w:rsidP="0087385B">
      <w:pPr>
        <w:autoSpaceDE w:val="0"/>
        <w:autoSpaceDN w:val="0"/>
        <w:adjustRightInd w:val="0"/>
        <w:jc w:val="both"/>
        <w:rPr>
          <w:rFonts w:ascii="Arial" w:eastAsia="Calibri" w:hAnsi="Arial" w:cs="Arial"/>
          <w:sz w:val="22"/>
          <w:szCs w:val="22"/>
        </w:rPr>
      </w:pP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w:t>
      </w:r>
      <w:r w:rsidRPr="002E2EDC">
        <w:rPr>
          <w:rFonts w:ascii="Arial" w:hAnsi="Arial" w:cs="Arial"/>
          <w:sz w:val="22"/>
          <w:szCs w:val="22"/>
          <w:shd w:val="clear" w:color="auto" w:fill="FFFFFF"/>
          <w:lang w:val="es-MX" w:eastAsia="es-MX"/>
        </w:rPr>
        <w:lastRenderedPageBreak/>
        <w:t>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establecerá los supuestos y procedimientos para la impugnar la  determinación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POR DEC. 119  P.O. 22 DEL 16 DE MARZO DE 2017</w:t>
      </w:r>
    </w:p>
    <w:p w14:paraId="02774ACE" w14:textId="77777777" w:rsidR="0072763A" w:rsidRPr="002D04BA" w:rsidRDefault="0072763A" w:rsidP="0087385B">
      <w:pPr>
        <w:jc w:val="both"/>
        <w:rPr>
          <w:rFonts w:ascii="Arial" w:hAnsi="Arial" w:cs="Arial"/>
          <w:sz w:val="22"/>
          <w:szCs w:val="22"/>
        </w:rPr>
      </w:pPr>
    </w:p>
    <w:p w14:paraId="357D7510"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ha o no lugar a proceder contra el inculpado.</w:t>
      </w:r>
    </w:p>
    <w:p w14:paraId="2900B172" w14:textId="77777777" w:rsidR="0072763A" w:rsidRPr="002D04BA" w:rsidRDefault="0072763A" w:rsidP="0087385B">
      <w:pPr>
        <w:tabs>
          <w:tab w:val="left" w:pos="709"/>
          <w:tab w:val="left" w:pos="907"/>
        </w:tabs>
        <w:jc w:val="both"/>
        <w:rPr>
          <w:rFonts w:ascii="Arial" w:hAnsi="Arial" w:cs="Arial"/>
          <w:bCs/>
          <w:sz w:val="22"/>
          <w:szCs w:val="22"/>
        </w:rPr>
      </w:pP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7777777" w:rsidR="0072763A" w:rsidRPr="002D04BA" w:rsidRDefault="0072763A"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0185A7CB" w14:textId="77777777" w:rsidR="00B96469" w:rsidRPr="002D04BA" w:rsidRDefault="00B96469" w:rsidP="0087385B">
      <w:pPr>
        <w:jc w:val="both"/>
        <w:rPr>
          <w:rFonts w:ascii="Arial" w:eastAsia="Calibri" w:hAnsi="Arial" w:cs="Arial"/>
          <w:sz w:val="22"/>
          <w:szCs w:val="22"/>
        </w:rPr>
      </w:pP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 xml:space="preserve">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w:t>
      </w:r>
      <w:r w:rsidR="0072763A" w:rsidRPr="002D04BA">
        <w:rPr>
          <w:rFonts w:ascii="Arial" w:hAnsi="Arial" w:cs="Arial"/>
          <w:sz w:val="22"/>
          <w:szCs w:val="22"/>
        </w:rPr>
        <w:lastRenderedPageBreak/>
        <w:t>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lastRenderedPageBreak/>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Dado en el Salón de Sesiones del Honorable Congreso del Estado, en Victoria de Durango, Dgo., a los (19) diecinueve días del mes de Agosto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EL </w:t>
      </w:r>
      <w:r w:rsidR="005454F3" w:rsidRPr="00DE2DDE">
        <w:rPr>
          <w:rFonts w:cs="Arial"/>
          <w:b/>
          <w:sz w:val="20"/>
        </w:rPr>
        <w:t xml:space="preserve"> PERIÓDICO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PUBLICADO EN EL  PERIÓDICO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w:t>
      </w:r>
      <w:r w:rsidRPr="00CC71FF">
        <w:rPr>
          <w:rFonts w:ascii="Arial" w:hAnsi="Arial" w:cs="Arial"/>
          <w:szCs w:val="22"/>
        </w:rPr>
        <w:lastRenderedPageBreak/>
        <w:t xml:space="preserve">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Dado en el Salón de Sesiones del Honorable Congreso del Estado, en Victoria de Durango, Dgo.,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PUBLICADO EN EL  PERIÓDICO OFICIAL</w:t>
      </w:r>
      <w:r w:rsidRPr="00DE2DDE">
        <w:rPr>
          <w:rFonts w:ascii="Arial" w:hAnsi="Arial" w:cs="Arial"/>
          <w:b/>
        </w:rPr>
        <w:t xml:space="preserve"> OFICIAL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Dado en el Salón de Sesiones del Honorable Congreso del Estado, en Victoria de Durango, Dgo.,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OFICIAL  No.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S </w:t>
      </w:r>
      <w:r w:rsidR="008A290B">
        <w:rPr>
          <w:rFonts w:ascii="Arial" w:hAnsi="Arial" w:cs="Arial"/>
          <w:b/>
          <w:szCs w:val="22"/>
          <w:lang w:val="en-US"/>
        </w:rPr>
        <w:t xml:space="preserve"> </w:t>
      </w:r>
      <w:r w:rsidRPr="00CC71FF">
        <w:rPr>
          <w:rFonts w:ascii="Arial" w:hAnsi="Arial" w:cs="Arial"/>
          <w:b/>
          <w:szCs w:val="22"/>
          <w:lang w:val="en-US"/>
        </w:rPr>
        <w:t>T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Dado en el Salón de Sesiones del Honorable Congreso del Estado, en Victoria de Durango, Dgo.,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ARTÍCULO SEGUNDO</w:t>
      </w:r>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77777777" w:rsidR="00DE2DDE" w:rsidRDefault="00DE2DDE"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r w:rsidRPr="00DE2DDE">
        <w:rPr>
          <w:rFonts w:ascii="Arial" w:hAnsi="Arial" w:cs="Arial"/>
          <w:b/>
        </w:rPr>
        <w:t xml:space="preserve">PRIMERO.-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r w:rsidRPr="00DE2DDE">
        <w:rPr>
          <w:rFonts w:ascii="Arial" w:hAnsi="Arial" w:cs="Arial"/>
          <w:b/>
        </w:rPr>
        <w:t>TERCERO.-</w:t>
      </w:r>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Dado en el Salón de Sesiones del Honorable Congreso del Estado, en Victoria de Durango, Dgo.,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r w:rsidRPr="00605FB4">
        <w:rPr>
          <w:b/>
          <w:color w:val="auto"/>
          <w:sz w:val="20"/>
          <w:szCs w:val="20"/>
        </w:rPr>
        <w:t>PRIMERO.-</w:t>
      </w:r>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r w:rsidRPr="00605FB4">
        <w:rPr>
          <w:b/>
          <w:color w:val="auto"/>
          <w:sz w:val="20"/>
          <w:szCs w:val="20"/>
        </w:rPr>
        <w:t>SEGUNDO.-</w:t>
      </w:r>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r w:rsidRPr="00605FB4">
        <w:rPr>
          <w:b/>
          <w:color w:val="auto"/>
          <w:sz w:val="20"/>
          <w:szCs w:val="20"/>
        </w:rPr>
        <w:t>TERCERO.-</w:t>
      </w:r>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Dado en el Salón de Sesiones del Honorable Congreso del Estado, en Victoria de Durango, Dgo.,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ÚNICO.-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r w:rsidRPr="00605FB4">
        <w:rPr>
          <w:rFonts w:ascii="Arial" w:hAnsi="Arial" w:cs="Arial"/>
          <w:b/>
          <w:color w:val="000000"/>
        </w:rPr>
        <w:t>PRIMERO.-</w:t>
      </w:r>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r w:rsidRPr="00605FB4">
        <w:rPr>
          <w:rFonts w:ascii="Arial" w:hAnsi="Arial" w:cs="Arial"/>
          <w:b/>
          <w:color w:val="000000"/>
        </w:rPr>
        <w:t>SEGUNDO.-</w:t>
      </w:r>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r w:rsidRPr="00605FB4">
        <w:rPr>
          <w:rFonts w:ascii="Arial" w:hAnsi="Arial" w:cs="Arial"/>
          <w:b/>
          <w:color w:val="000000"/>
        </w:rPr>
        <w:t>TERCERO.-</w:t>
      </w:r>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r w:rsidRPr="00605FB4">
        <w:rPr>
          <w:rFonts w:ascii="Arial" w:hAnsi="Arial" w:cs="Arial"/>
          <w:b/>
          <w:color w:val="000000"/>
        </w:rPr>
        <w:t>CUARTO.-</w:t>
      </w:r>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Dado en el Salón de Sesiones del Honorable Congreso del Estado, en Victoria de Durango, Dgo.,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Se reforman, adicionan y derogan diversas disposiciones de la Constitución política del Estado Libre y Soberano de Durango, para quedar  como sigue:</w:t>
      </w:r>
    </w:p>
    <w:p w14:paraId="70FB4221" w14:textId="77777777" w:rsidR="00F821B9" w:rsidRPr="00605FB4" w:rsidRDefault="00F821B9" w:rsidP="00A02B72">
      <w:pPr>
        <w:jc w:val="both"/>
        <w:rPr>
          <w:rFonts w:ascii="Arial" w:hAnsi="Arial" w:cs="Arial"/>
        </w:rPr>
      </w:pPr>
    </w:p>
    <w:p w14:paraId="7224DDCD" w14:textId="77777777"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Primero.-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Segundo.-</w:t>
      </w:r>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Tercero.-</w:t>
      </w:r>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 xml:space="preserve">Cuarto.-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Quinto.-</w:t>
      </w:r>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Sexto.-</w:t>
      </w:r>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titulares de los órganos a los que se refiere el presente Decreto, que se encuentren en funciones a la entrada en vigor del mismo, continuarán en su encargo en los términos en los que fueron nombrados; en lo sucesivo, el titular de la Secretaria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Séptimo.-</w:t>
      </w:r>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Octavo.-</w:t>
      </w:r>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Dado en el Salón de Sesiones del Honorable Congreso del Estado, en Victoria de Durango, Dgo., a los (16) dieciséis días del mes de Febrero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lastRenderedPageBreak/>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Durango, Dgo.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71AF394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SEGUNDO.-</w:t>
      </w:r>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TERCERO.-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CUARTO.-</w:t>
      </w:r>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lastRenderedPageBreak/>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PRIMERO.-</w:t>
      </w:r>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r w:rsidRPr="00605FB4">
        <w:rPr>
          <w:rFonts w:ascii="Arial" w:hAnsi="Arial" w:cs="Arial"/>
          <w:b/>
          <w:lang w:val="es-ES" w:eastAsia="es-MX"/>
        </w:rPr>
        <w:t xml:space="preserve">SEGUNDO.-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r w:rsidRPr="00605FB4">
        <w:rPr>
          <w:rFonts w:ascii="Arial" w:hAnsi="Arial" w:cs="Arial"/>
          <w:b/>
          <w:lang w:val="es-ES"/>
        </w:rPr>
        <w:t>SEGUNDO.-</w:t>
      </w:r>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PRIMERO.-</w:t>
      </w:r>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SEGUNDO.-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 xml:space="preserve">CUARTO.-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lastRenderedPageBreak/>
        <w:t>QUINTO.-</w:t>
      </w:r>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ARTICULO SEGUNDO.-</w:t>
      </w:r>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Dado en el Salón de Sesiones del Honorable Congreso del Estado, en Victoria de Durango, Dgo.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ÚNICO.-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ARTÍCULO PRIMERO</w:t>
      </w:r>
      <w:r w:rsidRPr="00605FB4">
        <w:rPr>
          <w:rFonts w:ascii="Arial" w:hAnsi="Arial" w:cs="Arial"/>
          <w:lang w:val="es-ES"/>
        </w:rPr>
        <w:t>.-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ARTICULO SEGUNDO.-</w:t>
      </w:r>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lastRenderedPageBreak/>
        <w:t>Dado en el Salón de Sesiones del Honorable Congreso del Estado, en Victoria de Durango, Dgo.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ÚNICO.-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66E08E50" w14:textId="77777777" w:rsidR="004B68F9" w:rsidRDefault="004B68F9" w:rsidP="00B10A31">
      <w:pPr>
        <w:jc w:val="both"/>
        <w:rPr>
          <w:rFonts w:ascii="Arial" w:hAnsi="Arial" w:cs="Arial"/>
          <w:lang w:val="es-ES"/>
        </w:rPr>
      </w:pPr>
    </w:p>
    <w:p w14:paraId="4FC08EC5" w14:textId="77777777" w:rsidR="004B68F9" w:rsidRDefault="004B68F9" w:rsidP="004B68F9">
      <w:pPr>
        <w:spacing w:line="360" w:lineRule="auto"/>
        <w:contextualSpacing/>
        <w:jc w:val="center"/>
        <w:rPr>
          <w:rFonts w:ascii="Arial" w:hAnsi="Arial" w:cs="Arial"/>
          <w:b/>
          <w:lang w:val="es-ES"/>
        </w:rPr>
      </w:pPr>
    </w:p>
    <w:p w14:paraId="2931F123"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b/>
          <w:color w:val="000000"/>
          <w:lang w:val="es-MX" w:eastAsia="es-MX"/>
        </w:rPr>
        <w:t>PRIMERO.-</w:t>
      </w:r>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r w:rsidRPr="004B68F9">
        <w:rPr>
          <w:rFonts w:ascii="Arial" w:hAnsi="Arial" w:cs="Arial"/>
          <w:b/>
          <w:lang w:val="es-MX" w:eastAsia="x-none"/>
        </w:rPr>
        <w:t xml:space="preserve">CUARTO.-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Dado en el Salón de Sesiones del Honorable Congreso del Estado, en Victoria de Durango, Dgo.,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ÚNICO.-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ARTÍCULO PRIMERO</w:t>
      </w:r>
      <w:r w:rsidRPr="003259A8">
        <w:rPr>
          <w:rFonts w:ascii="Arial" w:hAnsi="Arial" w:cs="Arial"/>
          <w:lang w:val="es-ES"/>
        </w:rPr>
        <w:t>.-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ARTICULO SEGUNDO.-</w:t>
      </w:r>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TERCERO.-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Dado en el Salón de Sesiones del Honorable Congreso del Estado, en Victoria de Durango, Dgo.,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r w:rsidR="00C35DEF" w:rsidRPr="00456F0C">
        <w:rPr>
          <w:rFonts w:ascii="Arial" w:hAnsi="Arial" w:cs="Arial"/>
          <w:b/>
          <w:lang w:val="es-ES"/>
        </w:rPr>
        <w:t>PRIMERO</w:t>
      </w:r>
      <w:r w:rsidR="00C35DEF" w:rsidRPr="00456F0C">
        <w:rPr>
          <w:rFonts w:ascii="Arial" w:hAnsi="Arial" w:cs="Arial"/>
          <w:lang w:val="es-ES"/>
        </w:rPr>
        <w:t>.-</w:t>
      </w:r>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r w:rsidR="00C35DEF" w:rsidRPr="00456F0C">
        <w:rPr>
          <w:rFonts w:ascii="Arial" w:hAnsi="Arial" w:cs="Arial"/>
          <w:b/>
          <w:lang w:val="es-ES"/>
        </w:rPr>
        <w:t>SEGUNDO.-</w:t>
      </w:r>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2BA16993" w14:textId="77777777" w:rsidR="00456F0C" w:rsidRPr="00456F0C" w:rsidRDefault="00456F0C" w:rsidP="00456F0C">
      <w:pPr>
        <w:jc w:val="both"/>
        <w:rPr>
          <w:rFonts w:ascii="Cambria" w:eastAsia="Calibri" w:hAnsi="Cambria" w:cs="Cambria"/>
          <w:lang w:val="es-MX" w:eastAsia="en-US"/>
        </w:rPr>
      </w:pP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r w:rsidR="00C35DEF" w:rsidRPr="00456F0C">
        <w:rPr>
          <w:rFonts w:ascii="Arial" w:hAnsi="Arial" w:cs="Arial"/>
          <w:b/>
          <w:lang w:val="es-ES"/>
        </w:rPr>
        <w:t>TERCERO.-</w:t>
      </w:r>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Dado en el Salón de Sesiones del Honorable Congreso del Estado, en Victoria de Durango, Dgo.,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lastRenderedPageBreak/>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57AE63D6" w14:textId="77777777" w:rsidR="00814A8C" w:rsidRDefault="00814A8C" w:rsidP="00814A8C">
      <w:pPr>
        <w:contextualSpacing/>
        <w:jc w:val="center"/>
        <w:rPr>
          <w:rFonts w:ascii="Arial" w:hAnsi="Arial" w:cs="Arial"/>
          <w:b/>
          <w:lang w:val="es-ES"/>
        </w:rPr>
      </w:pPr>
    </w:p>
    <w:p w14:paraId="5838E07B" w14:textId="77777777" w:rsidR="00814A8C" w:rsidRDefault="00814A8C" w:rsidP="00814A8C">
      <w:pPr>
        <w:contextualSpacing/>
        <w:jc w:val="center"/>
        <w:rPr>
          <w:rFonts w:ascii="Arial" w:hAnsi="Arial" w:cs="Arial"/>
          <w:b/>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ARTÍCULO PRIMERO</w:t>
      </w:r>
      <w:r w:rsidRPr="00814A8C">
        <w:rPr>
          <w:rFonts w:ascii="Arial" w:hAnsi="Arial" w:cs="Arial"/>
          <w:lang w:val="es-ES"/>
        </w:rPr>
        <w:t>.-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ARTÍCULO SEGUNDO.-</w:t>
      </w:r>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Dado en el Salón de Sesiones del Honorable Congreso del Estado, en Victoria de Durango, Dgo.,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ARTÍCULO PRIMERO</w:t>
      </w:r>
      <w:r w:rsidRPr="00DF4E14">
        <w:rPr>
          <w:rFonts w:ascii="Arial" w:hAnsi="Arial" w:cs="Arial"/>
          <w:lang w:val="es-ES"/>
        </w:rPr>
        <w:t>.- El presente decreto entrará en vigor al día siguiente de su publicación en el Periódico Oficial del Gobierno del Estado de Durango.</w:t>
      </w:r>
    </w:p>
    <w:p w14:paraId="25046C3E" w14:textId="77777777" w:rsidR="00DF4E14" w:rsidRPr="00DF4E14" w:rsidRDefault="00DF4E14" w:rsidP="00DF4E14">
      <w:pPr>
        <w:spacing w:line="360" w:lineRule="auto"/>
        <w:jc w:val="both"/>
        <w:rPr>
          <w:rFonts w:ascii="Arial" w:hAnsi="Arial" w:cs="Arial"/>
          <w:b/>
          <w:lang w:val="es-ES"/>
        </w:rPr>
      </w:pP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t>ARTICULO SEGUNDO</w:t>
      </w:r>
      <w:r w:rsidRPr="00DF4E14">
        <w:rPr>
          <w:rFonts w:ascii="Arial" w:eastAsia="Calibri" w:hAnsi="Arial" w:cs="Arial"/>
          <w:color w:val="000000"/>
          <w:lang w:val="es-MX" w:eastAsia="es-MX"/>
        </w:rPr>
        <w:t>.-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Dado en el Salón de Sesiones del Honorable Congreso del Estado, en Victoria de Durango, Dgo.,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4F043430" w14:textId="77777777" w:rsidR="003807A1" w:rsidRDefault="003807A1" w:rsidP="003807A1">
      <w:pPr>
        <w:contextualSpacing/>
        <w:jc w:val="center"/>
        <w:rPr>
          <w:rFonts w:ascii="Arial" w:hAnsi="Arial" w:cs="Arial"/>
          <w:b/>
          <w:lang w:val="es-ES"/>
        </w:rPr>
      </w:pPr>
    </w:p>
    <w:p w14:paraId="5E8C679D" w14:textId="77777777" w:rsidR="003807A1" w:rsidRDefault="003807A1" w:rsidP="003807A1">
      <w:pPr>
        <w:contextualSpacing/>
        <w:jc w:val="center"/>
        <w:rPr>
          <w:rFonts w:ascii="Arial" w:hAnsi="Arial" w:cs="Arial"/>
          <w:b/>
          <w:lang w:val="es-ES"/>
        </w:rPr>
      </w:pPr>
    </w:p>
    <w:p w14:paraId="1EF7F37E" w14:textId="77777777" w:rsidR="003807A1" w:rsidRDefault="003807A1" w:rsidP="003807A1">
      <w:pPr>
        <w:contextualSpacing/>
        <w:jc w:val="center"/>
        <w:rPr>
          <w:rFonts w:ascii="Arial" w:hAnsi="Arial" w:cs="Arial"/>
          <w:b/>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 xml:space="preserve">ARTÍCULO </w:t>
      </w:r>
      <w:r w:rsidRPr="003807A1">
        <w:rPr>
          <w:rFonts w:ascii="Arial" w:hAnsi="Arial" w:cs="Arial"/>
          <w:b/>
          <w:lang w:val="es-ES"/>
        </w:rPr>
        <w:t>PRIMERO</w:t>
      </w:r>
      <w:r w:rsidRPr="003807A1">
        <w:rPr>
          <w:rFonts w:ascii="Arial" w:hAnsi="Arial" w:cs="Arial"/>
          <w:lang w:val="es-ES"/>
        </w:rPr>
        <w:t>. -</w:t>
      </w:r>
      <w:r w:rsidRPr="003807A1">
        <w:rPr>
          <w:rFonts w:ascii="Arial" w:hAnsi="Arial" w:cs="Arial"/>
          <w:lang w:val="es-ES"/>
        </w:rPr>
        <w:t xml:space="preserve">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 xml:space="preserve">ARTICULO </w:t>
      </w:r>
      <w:r w:rsidRPr="003807A1">
        <w:rPr>
          <w:rFonts w:ascii="Arial" w:hAnsi="Arial" w:cs="Arial"/>
          <w:b/>
          <w:lang w:val="es-ES"/>
        </w:rPr>
        <w:t>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w:t>
      </w:r>
      <w:r w:rsidRPr="003807A1">
        <w:rPr>
          <w:rFonts w:ascii="Arial" w:hAnsi="Arial" w:cs="Arial"/>
          <w:b/>
          <w:lang w:val="es-ES"/>
        </w:rPr>
        <w:t>TERCERO. -</w:t>
      </w:r>
      <w:r w:rsidRPr="003807A1">
        <w:rPr>
          <w:rFonts w:ascii="Arial" w:hAnsi="Arial" w:cs="Arial"/>
          <w:b/>
          <w:lang w:val="es-ES"/>
        </w:rPr>
        <w:t xml:space="preserve">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Dado en el Salón de Sesiones del Honorable Congreso del Estado, en Victoria de Durango, Dgo.,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6A47BEED" w14:textId="5D746F40" w:rsidR="00921265" w:rsidRDefault="00921265" w:rsidP="003807A1">
      <w:pPr>
        <w:jc w:val="both"/>
        <w:rPr>
          <w:rFonts w:ascii="Arial" w:hAnsi="Arial" w:cs="Arial"/>
          <w:lang w:val="es-ES"/>
        </w:rPr>
      </w:pPr>
    </w:p>
    <w:p w14:paraId="56DCCC54" w14:textId="5D22DDF9" w:rsidR="00921265" w:rsidRDefault="00921265" w:rsidP="003807A1">
      <w:pPr>
        <w:jc w:val="both"/>
        <w:rPr>
          <w:rFonts w:ascii="Arial" w:hAnsi="Arial" w:cs="Arial"/>
          <w:lang w:val="es-ES"/>
        </w:rPr>
      </w:pPr>
      <w:r>
        <w:rPr>
          <w:rFonts w:ascii="Arial" w:hAnsi="Arial" w:cs="Arial"/>
          <w:lang w:val="es-ES"/>
        </w:rPr>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 xml:space="preserve">ARTÍCULO </w:t>
      </w:r>
      <w:r w:rsidRPr="00921265">
        <w:rPr>
          <w:rFonts w:ascii="Arial" w:hAnsi="Arial" w:cs="Arial"/>
          <w:b/>
          <w:lang w:val="es-ES"/>
        </w:rPr>
        <w:t>PRIMERO</w:t>
      </w:r>
      <w:r w:rsidRPr="00921265">
        <w:rPr>
          <w:rFonts w:ascii="Arial" w:hAnsi="Arial" w:cs="Arial"/>
          <w:lang w:val="es-ES"/>
        </w:rPr>
        <w:t>. -</w:t>
      </w:r>
      <w:r w:rsidRPr="00921265">
        <w:rPr>
          <w:rFonts w:ascii="Arial" w:hAnsi="Arial" w:cs="Arial"/>
          <w:lang w:val="es-ES"/>
        </w:rPr>
        <w:t xml:space="preserve">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 xml:space="preserve">ARTICULO </w:t>
      </w:r>
      <w:r w:rsidRPr="00921265">
        <w:rPr>
          <w:rFonts w:ascii="Arial" w:hAnsi="Arial" w:cs="Arial"/>
          <w:b/>
          <w:lang w:val="es-ES"/>
        </w:rPr>
        <w:t>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w:t>
      </w:r>
      <w:r w:rsidRPr="00921265">
        <w:rPr>
          <w:rFonts w:ascii="Arial" w:hAnsi="Arial" w:cs="Arial"/>
          <w:b/>
          <w:lang w:val="es-ES"/>
        </w:rPr>
        <w:t>TERCERO. -</w:t>
      </w:r>
      <w:r w:rsidRPr="00921265">
        <w:rPr>
          <w:rFonts w:ascii="Arial" w:hAnsi="Arial" w:cs="Arial"/>
          <w:b/>
          <w:lang w:val="es-ES"/>
        </w:rPr>
        <w:t xml:space="preserve">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Dado en el Salón de Sesiones del Honorable Congreso del Estado, en Victoria de Durango, Dgo.,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t>Dado en el Salón de Sesiones del Honorable Congreso del Estado, en Victoria de Durango, Dgo.,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lastRenderedPageBreak/>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 xml:space="preserve">ARTÍCULO </w:t>
      </w:r>
      <w:r w:rsidRPr="00011408">
        <w:rPr>
          <w:rFonts w:ascii="Arial" w:hAnsi="Arial" w:cs="Arial"/>
          <w:b/>
          <w:lang w:val="es-ES"/>
        </w:rPr>
        <w:t>PRIMERO</w:t>
      </w:r>
      <w:r w:rsidRPr="00011408">
        <w:rPr>
          <w:rFonts w:ascii="Arial" w:hAnsi="Arial" w:cs="Arial"/>
          <w:lang w:val="es-ES"/>
        </w:rPr>
        <w:t>. -</w:t>
      </w:r>
      <w:r w:rsidRPr="00011408">
        <w:rPr>
          <w:rFonts w:ascii="Arial" w:hAnsi="Arial" w:cs="Arial"/>
          <w:lang w:val="es-ES"/>
        </w:rPr>
        <w:t xml:space="preserve">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 xml:space="preserve">ARTICULO </w:t>
      </w:r>
      <w:r w:rsidRPr="00011408">
        <w:rPr>
          <w:rFonts w:ascii="Arial" w:hAnsi="Arial" w:cs="Arial"/>
          <w:b/>
          <w:lang w:val="es-ES"/>
        </w:rPr>
        <w:t>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w:t>
      </w:r>
      <w:r w:rsidRPr="00011408">
        <w:rPr>
          <w:rFonts w:ascii="Arial" w:hAnsi="Arial" w:cs="Arial"/>
          <w:b/>
          <w:lang w:val="es-ES"/>
        </w:rPr>
        <w:t>TERCERO. -</w:t>
      </w:r>
      <w:r w:rsidRPr="00011408">
        <w:rPr>
          <w:rFonts w:ascii="Arial" w:hAnsi="Arial" w:cs="Arial"/>
          <w:b/>
          <w:lang w:val="es-ES"/>
        </w:rPr>
        <w:t xml:space="preserve">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Dado en el Salón de Sesiones del Honorable Congreso del Estado, en Victoria de Durango, Dgo.,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70296037" w:rsidR="00011408" w:rsidRP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sectPr w:rsidR="00011408" w:rsidRPr="00011408"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15364" w14:textId="77777777" w:rsidR="000F66FB" w:rsidRDefault="000F66FB" w:rsidP="00FA3700">
      <w:r>
        <w:separator/>
      </w:r>
    </w:p>
  </w:endnote>
  <w:endnote w:type="continuationSeparator" w:id="0">
    <w:p w14:paraId="450A2D2C" w14:textId="77777777" w:rsidR="000F66FB" w:rsidRDefault="000F66FB"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altName w:val="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8532"/>
      <w:docPartObj>
        <w:docPartGallery w:val="Page Numbers (Bottom of Page)"/>
        <w:docPartUnique/>
      </w:docPartObj>
    </w:sdtPr>
    <w:sdtEndPr/>
    <w:sdtContent>
      <w:p w14:paraId="6FC1BD4C" w14:textId="77777777" w:rsidR="00EC60C2" w:rsidRDefault="00EC60C2">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EC60C2" w:rsidRDefault="00EC60C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4AAB" w14:textId="77777777" w:rsidR="000F66FB" w:rsidRDefault="000F66FB" w:rsidP="00FA3700">
      <w:r>
        <w:separator/>
      </w:r>
    </w:p>
  </w:footnote>
  <w:footnote w:type="continuationSeparator" w:id="0">
    <w:p w14:paraId="5A9E25EE" w14:textId="77777777" w:rsidR="000F66FB" w:rsidRDefault="000F66FB"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Look w:val="04A0" w:firstRow="1" w:lastRow="0" w:firstColumn="1" w:lastColumn="0" w:noHBand="0" w:noVBand="1"/>
    </w:tblPr>
    <w:tblGrid>
      <w:gridCol w:w="3828"/>
      <w:gridCol w:w="6144"/>
    </w:tblGrid>
    <w:tr w:rsidR="00EC60C2" w14:paraId="6382D7B2" w14:textId="77777777" w:rsidTr="00907146">
      <w:tc>
        <w:tcPr>
          <w:tcW w:w="3828" w:type="dxa"/>
          <w:tcBorders>
            <w:top w:val="nil"/>
            <w:left w:val="nil"/>
            <w:bottom w:val="nil"/>
            <w:right w:val="nil"/>
          </w:tcBorders>
        </w:tcPr>
        <w:p w14:paraId="23E3E6AC" w14:textId="77777777" w:rsidR="00EC60C2" w:rsidRDefault="00EC60C2"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EC60C2" w:rsidRDefault="00EC60C2" w:rsidP="00B37313">
          <w:pPr>
            <w:pStyle w:val="Encabezado"/>
          </w:pPr>
        </w:p>
        <w:p w14:paraId="380A2C97" w14:textId="77777777" w:rsidR="00EC60C2" w:rsidRPr="00047254" w:rsidRDefault="00EC60C2"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EC60C2" w:rsidRPr="00047254" w:rsidRDefault="00EC60C2" w:rsidP="00B37313">
          <w:pPr>
            <w:pStyle w:val="Encabezado"/>
            <w:rPr>
              <w:rFonts w:ascii="Arial" w:hAnsi="Arial" w:cs="Arial"/>
              <w:b/>
              <w:sz w:val="16"/>
              <w:szCs w:val="16"/>
            </w:rPr>
          </w:pPr>
        </w:p>
        <w:p w14:paraId="1096E83D" w14:textId="77777777" w:rsidR="00EC60C2" w:rsidRDefault="00EC60C2" w:rsidP="00B37313">
          <w:pPr>
            <w:pStyle w:val="Encabezado"/>
            <w:rPr>
              <w:rFonts w:ascii="Copperplate Gothic Bold" w:hAnsi="Copperplate Gothic Bold"/>
            </w:rPr>
          </w:pPr>
        </w:p>
        <w:p w14:paraId="08581AD8" w14:textId="77777777" w:rsidR="00EC60C2" w:rsidRDefault="00EC60C2" w:rsidP="00B37313">
          <w:pPr>
            <w:pStyle w:val="Encabezado"/>
            <w:rPr>
              <w:rFonts w:ascii="Copperplate Gothic Bold" w:hAnsi="Copperplate Gothic Bold"/>
            </w:rPr>
          </w:pPr>
        </w:p>
        <w:p w14:paraId="370A8A2A" w14:textId="77777777" w:rsidR="00EC60C2" w:rsidRPr="00B37313" w:rsidRDefault="00EC60C2" w:rsidP="00B37313">
          <w:pPr>
            <w:pStyle w:val="Encabezado"/>
            <w:rPr>
              <w:rFonts w:ascii="Copperplate Gothic Bold" w:hAnsi="Copperplate Gothic Bold"/>
            </w:rPr>
          </w:pPr>
        </w:p>
        <w:p w14:paraId="2A6341DA" w14:textId="77777777" w:rsidR="00EC60C2" w:rsidRPr="00B37313" w:rsidRDefault="00EC60C2" w:rsidP="00F05108">
          <w:pPr>
            <w:pStyle w:val="Encabezado"/>
            <w:ind w:firstLine="708"/>
            <w:rPr>
              <w:rFonts w:asciiTheme="majorHAnsi" w:hAnsiTheme="majorHAnsi"/>
              <w:sz w:val="18"/>
              <w:szCs w:val="18"/>
            </w:rPr>
          </w:pPr>
        </w:p>
        <w:p w14:paraId="3CE224CF" w14:textId="77777777" w:rsidR="00EC60C2" w:rsidRPr="00907146" w:rsidRDefault="00EC60C2"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67C4D71C" w:rsidR="00EC60C2" w:rsidRPr="00DE2DDE" w:rsidRDefault="00EC60C2" w:rsidP="00DE2DDE">
          <w:pPr>
            <w:pStyle w:val="Ttulo2"/>
            <w:outlineLvl w:val="1"/>
          </w:pPr>
          <w:r>
            <w:t xml:space="preserve">DEC. </w:t>
          </w:r>
          <w:r w:rsidR="003807A1">
            <w:t>31</w:t>
          </w:r>
          <w:r w:rsidR="00011408">
            <w:t>7</w:t>
          </w:r>
          <w:r>
            <w:t xml:space="preserve"> P.O. </w:t>
          </w:r>
          <w:r w:rsidR="003807A1">
            <w:t>56</w:t>
          </w:r>
          <w:r>
            <w:t xml:space="preserve"> DEL </w:t>
          </w:r>
          <w:r w:rsidR="003807A1">
            <w:t>15</w:t>
          </w:r>
          <w:r>
            <w:t xml:space="preserve"> DE </w:t>
          </w:r>
          <w:r w:rsidR="003807A1">
            <w:t>JULIO</w:t>
          </w:r>
          <w:r w:rsidRPr="00DE2DDE">
            <w:t xml:space="preserve"> DE 20</w:t>
          </w:r>
          <w:r>
            <w:t>2</w:t>
          </w:r>
          <w:r w:rsidR="003807A1">
            <w:t>1</w:t>
          </w:r>
          <w:r w:rsidRPr="00DE2DDE">
            <w:t>.</w:t>
          </w:r>
        </w:p>
        <w:p w14:paraId="186638E6" w14:textId="77777777" w:rsidR="00EC60C2" w:rsidRPr="00964BFE" w:rsidRDefault="00EC60C2" w:rsidP="00DE2DDE">
          <w:pPr>
            <w:pStyle w:val="Ttulo2"/>
            <w:outlineLvl w:val="1"/>
          </w:pPr>
          <w:r w:rsidRPr="00964BFE">
            <w:t xml:space="preserve"> </w:t>
          </w:r>
        </w:p>
        <w:p w14:paraId="24A18548" w14:textId="77777777" w:rsidR="00EC60C2" w:rsidRPr="0087385B" w:rsidRDefault="00EC60C2" w:rsidP="0087385B">
          <w:pPr>
            <w:pStyle w:val="Encabezado"/>
            <w:jc w:val="right"/>
            <w:rPr>
              <w:rFonts w:asciiTheme="majorHAnsi" w:hAnsiTheme="majorHAnsi"/>
              <w:sz w:val="16"/>
              <w:szCs w:val="16"/>
            </w:rPr>
          </w:pPr>
        </w:p>
      </w:tc>
    </w:tr>
  </w:tbl>
  <w:p w14:paraId="2D99BEE0" w14:textId="77777777" w:rsidR="00EC60C2" w:rsidRPr="00B37313" w:rsidRDefault="00EC60C2"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4C58"/>
    <w:rsid w:val="00076FF1"/>
    <w:rsid w:val="00093F6D"/>
    <w:rsid w:val="00094CB4"/>
    <w:rsid w:val="000962E3"/>
    <w:rsid w:val="00097398"/>
    <w:rsid w:val="0009759C"/>
    <w:rsid w:val="000A3B88"/>
    <w:rsid w:val="000C039E"/>
    <w:rsid w:val="000C27F2"/>
    <w:rsid w:val="000C2E1D"/>
    <w:rsid w:val="000C4436"/>
    <w:rsid w:val="000C6D7D"/>
    <w:rsid w:val="000C7376"/>
    <w:rsid w:val="000E0446"/>
    <w:rsid w:val="000E0C83"/>
    <w:rsid w:val="000E4485"/>
    <w:rsid w:val="000E5C09"/>
    <w:rsid w:val="000F50E7"/>
    <w:rsid w:val="000F606B"/>
    <w:rsid w:val="000F66FB"/>
    <w:rsid w:val="001046A4"/>
    <w:rsid w:val="001109C6"/>
    <w:rsid w:val="00111E38"/>
    <w:rsid w:val="00121AC8"/>
    <w:rsid w:val="001228CC"/>
    <w:rsid w:val="00130E59"/>
    <w:rsid w:val="00136C98"/>
    <w:rsid w:val="00144AC0"/>
    <w:rsid w:val="00152BE8"/>
    <w:rsid w:val="00154665"/>
    <w:rsid w:val="00161142"/>
    <w:rsid w:val="00164E0E"/>
    <w:rsid w:val="001778EF"/>
    <w:rsid w:val="001808EC"/>
    <w:rsid w:val="00186BF7"/>
    <w:rsid w:val="00186F39"/>
    <w:rsid w:val="00194C3A"/>
    <w:rsid w:val="001A071A"/>
    <w:rsid w:val="001A1A7D"/>
    <w:rsid w:val="001A48D8"/>
    <w:rsid w:val="001A79AF"/>
    <w:rsid w:val="001D7949"/>
    <w:rsid w:val="001E1E56"/>
    <w:rsid w:val="001E25EB"/>
    <w:rsid w:val="001E5973"/>
    <w:rsid w:val="001E59B6"/>
    <w:rsid w:val="001F2820"/>
    <w:rsid w:val="001F405D"/>
    <w:rsid w:val="00200FD3"/>
    <w:rsid w:val="0020287C"/>
    <w:rsid w:val="002037A7"/>
    <w:rsid w:val="00204010"/>
    <w:rsid w:val="00204527"/>
    <w:rsid w:val="00210D58"/>
    <w:rsid w:val="002114DB"/>
    <w:rsid w:val="00226738"/>
    <w:rsid w:val="00233E12"/>
    <w:rsid w:val="00236966"/>
    <w:rsid w:val="00243737"/>
    <w:rsid w:val="0025026F"/>
    <w:rsid w:val="002519F1"/>
    <w:rsid w:val="00255654"/>
    <w:rsid w:val="00261D1F"/>
    <w:rsid w:val="002640D3"/>
    <w:rsid w:val="00270684"/>
    <w:rsid w:val="002736B8"/>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1841"/>
    <w:rsid w:val="003329DD"/>
    <w:rsid w:val="00341F5D"/>
    <w:rsid w:val="00344D9E"/>
    <w:rsid w:val="00346ECE"/>
    <w:rsid w:val="0035082F"/>
    <w:rsid w:val="00365C3A"/>
    <w:rsid w:val="003661FF"/>
    <w:rsid w:val="00373F8E"/>
    <w:rsid w:val="0037647D"/>
    <w:rsid w:val="003807A1"/>
    <w:rsid w:val="00381F49"/>
    <w:rsid w:val="00382A0F"/>
    <w:rsid w:val="00391970"/>
    <w:rsid w:val="003A005F"/>
    <w:rsid w:val="003A136D"/>
    <w:rsid w:val="003A1F50"/>
    <w:rsid w:val="003B3FDB"/>
    <w:rsid w:val="003C07C1"/>
    <w:rsid w:val="003C2373"/>
    <w:rsid w:val="003C4AD1"/>
    <w:rsid w:val="003D4C9D"/>
    <w:rsid w:val="003E08D3"/>
    <w:rsid w:val="003E1C11"/>
    <w:rsid w:val="003F7293"/>
    <w:rsid w:val="004030F6"/>
    <w:rsid w:val="00421F75"/>
    <w:rsid w:val="00423342"/>
    <w:rsid w:val="00423BB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B3A"/>
    <w:rsid w:val="004A2C5D"/>
    <w:rsid w:val="004B68F9"/>
    <w:rsid w:val="004C43EB"/>
    <w:rsid w:val="004D12E1"/>
    <w:rsid w:val="004D2DBB"/>
    <w:rsid w:val="004D428F"/>
    <w:rsid w:val="004E3C79"/>
    <w:rsid w:val="004E76F1"/>
    <w:rsid w:val="004E7C8A"/>
    <w:rsid w:val="004F09F1"/>
    <w:rsid w:val="004F11BA"/>
    <w:rsid w:val="004F176E"/>
    <w:rsid w:val="00515B18"/>
    <w:rsid w:val="00515EF0"/>
    <w:rsid w:val="005267F1"/>
    <w:rsid w:val="0053121C"/>
    <w:rsid w:val="0054136B"/>
    <w:rsid w:val="00541480"/>
    <w:rsid w:val="00542938"/>
    <w:rsid w:val="00543D65"/>
    <w:rsid w:val="005449AA"/>
    <w:rsid w:val="005454F3"/>
    <w:rsid w:val="00560959"/>
    <w:rsid w:val="00580872"/>
    <w:rsid w:val="0058146F"/>
    <w:rsid w:val="0059096C"/>
    <w:rsid w:val="00592253"/>
    <w:rsid w:val="005973F0"/>
    <w:rsid w:val="00597C64"/>
    <w:rsid w:val="005A0AEF"/>
    <w:rsid w:val="005A412D"/>
    <w:rsid w:val="005B26C2"/>
    <w:rsid w:val="005B58A9"/>
    <w:rsid w:val="005B717E"/>
    <w:rsid w:val="005C09E4"/>
    <w:rsid w:val="005D22F8"/>
    <w:rsid w:val="005D2659"/>
    <w:rsid w:val="005D69E8"/>
    <w:rsid w:val="005E2B0D"/>
    <w:rsid w:val="005E6162"/>
    <w:rsid w:val="005E7A2F"/>
    <w:rsid w:val="005F200C"/>
    <w:rsid w:val="005F4984"/>
    <w:rsid w:val="00605FB4"/>
    <w:rsid w:val="006066A3"/>
    <w:rsid w:val="0061004A"/>
    <w:rsid w:val="00615B33"/>
    <w:rsid w:val="00625148"/>
    <w:rsid w:val="00626343"/>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638C"/>
    <w:rsid w:val="007D5856"/>
    <w:rsid w:val="007D5E84"/>
    <w:rsid w:val="007E506A"/>
    <w:rsid w:val="0080025E"/>
    <w:rsid w:val="00801E17"/>
    <w:rsid w:val="00803B5C"/>
    <w:rsid w:val="00810CFF"/>
    <w:rsid w:val="00812959"/>
    <w:rsid w:val="00814A8C"/>
    <w:rsid w:val="00816ABA"/>
    <w:rsid w:val="00817AC4"/>
    <w:rsid w:val="008235EC"/>
    <w:rsid w:val="00824F3A"/>
    <w:rsid w:val="00834BAE"/>
    <w:rsid w:val="0083523B"/>
    <w:rsid w:val="00843055"/>
    <w:rsid w:val="00856DA5"/>
    <w:rsid w:val="0087295A"/>
    <w:rsid w:val="00872F9A"/>
    <w:rsid w:val="00873001"/>
    <w:rsid w:val="00873802"/>
    <w:rsid w:val="0087385B"/>
    <w:rsid w:val="00881826"/>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1265"/>
    <w:rsid w:val="00925F89"/>
    <w:rsid w:val="009338B8"/>
    <w:rsid w:val="00936102"/>
    <w:rsid w:val="00953B16"/>
    <w:rsid w:val="0095628A"/>
    <w:rsid w:val="00962926"/>
    <w:rsid w:val="00964BFE"/>
    <w:rsid w:val="00975756"/>
    <w:rsid w:val="00977981"/>
    <w:rsid w:val="009808DC"/>
    <w:rsid w:val="00980AAF"/>
    <w:rsid w:val="00992289"/>
    <w:rsid w:val="009948E5"/>
    <w:rsid w:val="009B08C8"/>
    <w:rsid w:val="009B0E85"/>
    <w:rsid w:val="009C23F1"/>
    <w:rsid w:val="009C6EEA"/>
    <w:rsid w:val="009D199A"/>
    <w:rsid w:val="009E20F7"/>
    <w:rsid w:val="009E39EC"/>
    <w:rsid w:val="009E3A34"/>
    <w:rsid w:val="009E55F0"/>
    <w:rsid w:val="009F081D"/>
    <w:rsid w:val="00A02B72"/>
    <w:rsid w:val="00A077EE"/>
    <w:rsid w:val="00A14192"/>
    <w:rsid w:val="00A20967"/>
    <w:rsid w:val="00A20FA7"/>
    <w:rsid w:val="00A243C9"/>
    <w:rsid w:val="00A302CD"/>
    <w:rsid w:val="00A34771"/>
    <w:rsid w:val="00A36B71"/>
    <w:rsid w:val="00A417AD"/>
    <w:rsid w:val="00A47A29"/>
    <w:rsid w:val="00A54111"/>
    <w:rsid w:val="00A5442B"/>
    <w:rsid w:val="00A552F6"/>
    <w:rsid w:val="00A574B2"/>
    <w:rsid w:val="00A66F63"/>
    <w:rsid w:val="00A703D3"/>
    <w:rsid w:val="00A7410C"/>
    <w:rsid w:val="00A74720"/>
    <w:rsid w:val="00A80780"/>
    <w:rsid w:val="00A81269"/>
    <w:rsid w:val="00A91411"/>
    <w:rsid w:val="00A95140"/>
    <w:rsid w:val="00A95D90"/>
    <w:rsid w:val="00A97793"/>
    <w:rsid w:val="00AA0365"/>
    <w:rsid w:val="00AA09CD"/>
    <w:rsid w:val="00AA1C56"/>
    <w:rsid w:val="00AA7F97"/>
    <w:rsid w:val="00AC4B58"/>
    <w:rsid w:val="00AC55C2"/>
    <w:rsid w:val="00AE085F"/>
    <w:rsid w:val="00AE6014"/>
    <w:rsid w:val="00AF6296"/>
    <w:rsid w:val="00AF696E"/>
    <w:rsid w:val="00B023B2"/>
    <w:rsid w:val="00B0649D"/>
    <w:rsid w:val="00B10A31"/>
    <w:rsid w:val="00B177B9"/>
    <w:rsid w:val="00B21BA3"/>
    <w:rsid w:val="00B22472"/>
    <w:rsid w:val="00B37313"/>
    <w:rsid w:val="00B83C59"/>
    <w:rsid w:val="00B877EF"/>
    <w:rsid w:val="00B9228F"/>
    <w:rsid w:val="00B96469"/>
    <w:rsid w:val="00BA099B"/>
    <w:rsid w:val="00BA34A5"/>
    <w:rsid w:val="00BA49C4"/>
    <w:rsid w:val="00BA7924"/>
    <w:rsid w:val="00BA7972"/>
    <w:rsid w:val="00BA7C0B"/>
    <w:rsid w:val="00BB2712"/>
    <w:rsid w:val="00BB5AD1"/>
    <w:rsid w:val="00BC3933"/>
    <w:rsid w:val="00BC3FEF"/>
    <w:rsid w:val="00BD1F2A"/>
    <w:rsid w:val="00BD62E9"/>
    <w:rsid w:val="00BE4214"/>
    <w:rsid w:val="00BF3701"/>
    <w:rsid w:val="00BF475D"/>
    <w:rsid w:val="00C11927"/>
    <w:rsid w:val="00C257F1"/>
    <w:rsid w:val="00C35DEF"/>
    <w:rsid w:val="00C424C8"/>
    <w:rsid w:val="00C53598"/>
    <w:rsid w:val="00C616CC"/>
    <w:rsid w:val="00C63C1A"/>
    <w:rsid w:val="00C716AA"/>
    <w:rsid w:val="00C77A73"/>
    <w:rsid w:val="00C82DF3"/>
    <w:rsid w:val="00C83856"/>
    <w:rsid w:val="00C8386A"/>
    <w:rsid w:val="00C87B97"/>
    <w:rsid w:val="00C906AC"/>
    <w:rsid w:val="00C92A98"/>
    <w:rsid w:val="00C9329B"/>
    <w:rsid w:val="00C964D1"/>
    <w:rsid w:val="00CA3D13"/>
    <w:rsid w:val="00CA41F6"/>
    <w:rsid w:val="00CA42E7"/>
    <w:rsid w:val="00CC16EE"/>
    <w:rsid w:val="00CC586D"/>
    <w:rsid w:val="00CC71FF"/>
    <w:rsid w:val="00CD70AB"/>
    <w:rsid w:val="00CE0725"/>
    <w:rsid w:val="00CF0152"/>
    <w:rsid w:val="00CF5287"/>
    <w:rsid w:val="00CF71C2"/>
    <w:rsid w:val="00D0321A"/>
    <w:rsid w:val="00D07A10"/>
    <w:rsid w:val="00D11441"/>
    <w:rsid w:val="00D1265B"/>
    <w:rsid w:val="00D21895"/>
    <w:rsid w:val="00D2294C"/>
    <w:rsid w:val="00D269CF"/>
    <w:rsid w:val="00D276B4"/>
    <w:rsid w:val="00D335CB"/>
    <w:rsid w:val="00D41F71"/>
    <w:rsid w:val="00D42141"/>
    <w:rsid w:val="00D428BB"/>
    <w:rsid w:val="00D43A9D"/>
    <w:rsid w:val="00D44AE1"/>
    <w:rsid w:val="00D4753E"/>
    <w:rsid w:val="00D5411A"/>
    <w:rsid w:val="00D60078"/>
    <w:rsid w:val="00D64D8D"/>
    <w:rsid w:val="00D664F3"/>
    <w:rsid w:val="00D73D09"/>
    <w:rsid w:val="00D83358"/>
    <w:rsid w:val="00D842EC"/>
    <w:rsid w:val="00D864AC"/>
    <w:rsid w:val="00D90377"/>
    <w:rsid w:val="00D9352E"/>
    <w:rsid w:val="00D94A01"/>
    <w:rsid w:val="00D96013"/>
    <w:rsid w:val="00D976E8"/>
    <w:rsid w:val="00DA4390"/>
    <w:rsid w:val="00DA47B2"/>
    <w:rsid w:val="00DB5AD0"/>
    <w:rsid w:val="00DC256B"/>
    <w:rsid w:val="00DC2862"/>
    <w:rsid w:val="00DD1D39"/>
    <w:rsid w:val="00DD4A0A"/>
    <w:rsid w:val="00DE0348"/>
    <w:rsid w:val="00DE2DDE"/>
    <w:rsid w:val="00DE3A24"/>
    <w:rsid w:val="00DE70F1"/>
    <w:rsid w:val="00DF4E14"/>
    <w:rsid w:val="00E00942"/>
    <w:rsid w:val="00E266D9"/>
    <w:rsid w:val="00E274F5"/>
    <w:rsid w:val="00E33806"/>
    <w:rsid w:val="00E544B0"/>
    <w:rsid w:val="00E549D7"/>
    <w:rsid w:val="00E61312"/>
    <w:rsid w:val="00E76ADE"/>
    <w:rsid w:val="00E90776"/>
    <w:rsid w:val="00E919B0"/>
    <w:rsid w:val="00EA1462"/>
    <w:rsid w:val="00EA2BCA"/>
    <w:rsid w:val="00EA4B70"/>
    <w:rsid w:val="00EA61A8"/>
    <w:rsid w:val="00EC60C2"/>
    <w:rsid w:val="00EF3992"/>
    <w:rsid w:val="00F0051C"/>
    <w:rsid w:val="00F02AC0"/>
    <w:rsid w:val="00F05108"/>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660B"/>
    <w:rsid w:val="00F80B64"/>
    <w:rsid w:val="00F821B9"/>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92</Pages>
  <Words>35978</Words>
  <Characters>197879</Characters>
  <Application>Microsoft Office Word</Application>
  <DocSecurity>0</DocSecurity>
  <Lines>1648</Lines>
  <Paragraphs>466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 Villalobos</cp:lastModifiedBy>
  <cp:revision>3</cp:revision>
  <cp:lastPrinted>2013-09-23T15:31:00Z</cp:lastPrinted>
  <dcterms:created xsi:type="dcterms:W3CDTF">2021-08-19T17:10:00Z</dcterms:created>
  <dcterms:modified xsi:type="dcterms:W3CDTF">2021-08-19T17:18:00Z</dcterms:modified>
</cp:coreProperties>
</file>