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y domicilio, tanto de los pretendientes como de sus padres, si estos fueren conocidos. Cuando alguno de los pretendientes o los dos hayan sido casados, se expresará también el nombre de la persona con quien celebró el anterior matrimonio, la causa de su disolución y la fecha de ésta;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lastRenderedPageBreak/>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lastRenderedPageBreak/>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lastRenderedPageBreak/>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lastRenderedPageBreak/>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 xml:space="preserve">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w:t>
      </w:r>
      <w:proofErr w:type="spellStart"/>
      <w:r w:rsidR="00775EB1" w:rsidRPr="00A5492C">
        <w:rPr>
          <w:rFonts w:cs="Arial"/>
          <w:bCs/>
          <w:szCs w:val="22"/>
        </w:rPr>
        <w:t>excónyuges</w:t>
      </w:r>
      <w:proofErr w:type="spellEnd"/>
      <w:r w:rsidR="00775EB1" w:rsidRPr="00A5492C">
        <w:rPr>
          <w:rFonts w:cs="Arial"/>
          <w:bCs/>
          <w:szCs w:val="22"/>
        </w:rPr>
        <w:t>,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Para el caso de los mayores incapaces, sujetos a la tutela de alguno de los </w:t>
      </w:r>
      <w:proofErr w:type="spellStart"/>
      <w:r w:rsidRPr="00A5492C">
        <w:rPr>
          <w:rFonts w:ascii="Arial" w:hAnsi="Arial" w:cs="Arial"/>
          <w:bCs/>
          <w:sz w:val="22"/>
          <w:szCs w:val="22"/>
        </w:rPr>
        <w:t>excónyuges</w:t>
      </w:r>
      <w:proofErr w:type="spellEnd"/>
      <w:r w:rsidRPr="00A5492C">
        <w:rPr>
          <w:rFonts w:ascii="Arial" w:hAnsi="Arial" w:cs="Arial"/>
          <w:bCs/>
          <w:sz w:val="22"/>
          <w:szCs w:val="22"/>
        </w:rPr>
        <w:t>,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lastRenderedPageBreak/>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 xml:space="preserve">La línea recta es ascendente o descendente: ascendente es la que liga a una persona con su progenitor o tronco de que procede; descendente es la liga al progenitor con los que de él </w:t>
      </w:r>
      <w:r w:rsidRPr="00A5492C">
        <w:rPr>
          <w:rFonts w:ascii="Arial" w:hAnsi="Arial" w:cs="Arial"/>
          <w:sz w:val="22"/>
          <w:szCs w:val="22"/>
        </w:rPr>
        <w:lastRenderedPageBreak/>
        <w:t>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Cuando el alimentista deja de necesitar los </w:t>
      </w:r>
      <w:proofErr w:type="spellStart"/>
      <w:r w:rsidRPr="00A5492C">
        <w:rPr>
          <w:rFonts w:ascii="Arial" w:hAnsi="Arial" w:cs="Arial"/>
          <w:sz w:val="22"/>
          <w:szCs w:val="22"/>
        </w:rPr>
        <w:t>ailmentos</w:t>
      </w:r>
      <w:proofErr w:type="spellEnd"/>
      <w:r w:rsidRPr="00A5492C">
        <w:rPr>
          <w:rFonts w:ascii="Arial" w:hAnsi="Arial" w:cs="Arial"/>
          <w:sz w:val="22"/>
          <w:szCs w:val="22"/>
        </w:rPr>
        <w:t>;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w:t>
      </w:r>
      <w:r w:rsidRPr="00A5492C">
        <w:rPr>
          <w:rFonts w:ascii="Arial" w:hAnsi="Arial" w:cs="Arial"/>
          <w:bCs/>
          <w:sz w:val="22"/>
          <w:szCs w:val="22"/>
          <w:lang w:val="es-MX"/>
        </w:rPr>
        <w:lastRenderedPageBreak/>
        <w:t>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 xml:space="preserve">A falta de actas o si éstas fueren defectuosas, incompletas o falsas, se probará con la posesión constante de estado de hijo nacido de matrimonio. En defecto de esta posesión son </w:t>
      </w:r>
      <w:r w:rsidRPr="00A5492C">
        <w:rPr>
          <w:rFonts w:ascii="Arial" w:hAnsi="Arial" w:cs="Arial"/>
          <w:bCs/>
          <w:sz w:val="22"/>
          <w:szCs w:val="22"/>
        </w:rPr>
        <w:lastRenderedPageBreak/>
        <w:t>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lastRenderedPageBreak/>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w:t>
      </w:r>
      <w:r w:rsidRPr="00A5492C">
        <w:rPr>
          <w:rFonts w:ascii="Arial" w:hAnsi="Arial" w:cs="Arial"/>
          <w:bCs/>
          <w:sz w:val="22"/>
          <w:szCs w:val="22"/>
        </w:rPr>
        <w:lastRenderedPageBreak/>
        <w:t>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que la ejerce incurra en conductas de violencia familiar en contra del menor en los términos del artículo 318-2 de este Código o cuando por las costumbres depravadas de los padres, malos tratamientos o abandono de sus deberes, pudiera comprometerse la salud, la seguridad o la moralidad de los hijos, </w:t>
      </w:r>
      <w:r w:rsidR="00DB45E0" w:rsidRPr="00A5492C">
        <w:rPr>
          <w:rFonts w:ascii="Arial" w:hAnsi="Arial" w:cs="Arial"/>
          <w:sz w:val="22"/>
          <w:szCs w:val="22"/>
        </w:rPr>
        <w:t>aun</w:t>
      </w:r>
      <w:r w:rsidRPr="00A5492C">
        <w:rPr>
          <w:rFonts w:ascii="Arial" w:hAnsi="Arial" w:cs="Arial"/>
          <w:sz w:val="22"/>
          <w:szCs w:val="22"/>
        </w:rPr>
        <w:t xml:space="preserve"> cuando esos hechos no cayeren bajo la sanción de la ley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 xml:space="preserve">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w:t>
      </w:r>
      <w:r w:rsidRPr="00A5492C">
        <w:rPr>
          <w:rFonts w:ascii="Arial" w:hAnsi="Arial" w:cs="Arial"/>
          <w:bCs/>
          <w:sz w:val="22"/>
          <w:szCs w:val="22"/>
        </w:rPr>
        <w:lastRenderedPageBreak/>
        <w:t>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 xml:space="preserve">estamentaria, legítima, dativa o </w:t>
      </w:r>
      <w:proofErr w:type="spellStart"/>
      <w:r w:rsidR="00F22F0B" w:rsidRPr="00A5492C">
        <w:rPr>
          <w:rFonts w:ascii="Arial" w:hAnsi="Arial" w:cs="Arial"/>
          <w:sz w:val="22"/>
          <w:szCs w:val="22"/>
        </w:rPr>
        <w:t>autodesignada</w:t>
      </w:r>
      <w:proofErr w:type="spellEnd"/>
      <w:r w:rsidR="00F22F0B" w:rsidRPr="00A5492C">
        <w:rPr>
          <w:rFonts w:ascii="Arial" w:hAnsi="Arial" w:cs="Arial"/>
          <w:sz w:val="22"/>
          <w:szCs w:val="22"/>
        </w:rPr>
        <w:t>.</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tutela </w:t>
      </w:r>
      <w:proofErr w:type="spellStart"/>
      <w:r w:rsidRPr="00A5492C">
        <w:rPr>
          <w:rFonts w:ascii="Arial" w:hAnsi="Arial" w:cs="Arial"/>
          <w:sz w:val="22"/>
          <w:szCs w:val="22"/>
        </w:rPr>
        <w:t>autodesignada</w:t>
      </w:r>
      <w:proofErr w:type="spellEnd"/>
      <w:r w:rsidRPr="00A5492C">
        <w:rPr>
          <w:rFonts w:ascii="Arial" w:hAnsi="Arial" w:cs="Arial"/>
          <w:sz w:val="22"/>
          <w:szCs w:val="22"/>
        </w:rPr>
        <w:t xml:space="preserve">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 xml:space="preserve">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w:t>
      </w:r>
      <w:r w:rsidRPr="00A5492C">
        <w:rPr>
          <w:rFonts w:ascii="Arial" w:hAnsi="Arial" w:cs="Arial"/>
          <w:bCs/>
          <w:sz w:val="22"/>
          <w:szCs w:val="22"/>
        </w:rPr>
        <w:lastRenderedPageBreak/>
        <w:t>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w:t>
      </w:r>
      <w:r w:rsidRPr="00A5492C">
        <w:rPr>
          <w:rFonts w:ascii="Arial" w:hAnsi="Arial" w:cs="Arial"/>
          <w:sz w:val="22"/>
          <w:szCs w:val="22"/>
        </w:rPr>
        <w:lastRenderedPageBreak/>
        <w:t>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 xml:space="preserve">Los herederos testamentarios, y en su defecto, los que fueren legítimos al tiempo de la desaparición de un ausente, o al tiempo en que se hayan recibido las últimas noticias, si tienen </w:t>
      </w:r>
      <w:r w:rsidRPr="00A5492C">
        <w:rPr>
          <w:rFonts w:ascii="Arial" w:hAnsi="Arial" w:cs="Arial"/>
          <w:sz w:val="22"/>
          <w:szCs w:val="22"/>
        </w:rPr>
        <w:lastRenderedPageBreak/>
        <w:t>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w:t>
      </w:r>
      <w:r w:rsidRPr="00173432">
        <w:rPr>
          <w:rFonts w:ascii="Arial" w:hAnsi="Arial" w:cs="Arial"/>
          <w:sz w:val="22"/>
          <w:szCs w:val="22"/>
        </w:rPr>
        <w:lastRenderedPageBreak/>
        <w:t xml:space="preserve">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lastRenderedPageBreak/>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w:t>
      </w:r>
      <w:proofErr w:type="spellStart"/>
      <w:r w:rsidRPr="00AE3149">
        <w:rPr>
          <w:rFonts w:ascii="Arial" w:hAnsi="Arial" w:cs="Arial"/>
          <w:sz w:val="22"/>
          <w:szCs w:val="22"/>
        </w:rPr>
        <w:t>que</w:t>
      </w:r>
      <w:proofErr w:type="spellEnd"/>
      <w:r w:rsidRPr="00AE3149">
        <w:rPr>
          <w:rFonts w:ascii="Arial" w:hAnsi="Arial" w:cs="Arial"/>
          <w:sz w:val="22"/>
          <w:szCs w:val="22"/>
        </w:rPr>
        <w:t xml:space="preserv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 xml:space="preserve">Si las ramas de los árboles se extienden sobre heredades, jardines o patios vecinos, el dueño de éstos tendrá derecho de que se corten en cuanto se extiendan sobre su propiedad, y si </w:t>
      </w:r>
      <w:r w:rsidRPr="007A1D28">
        <w:rPr>
          <w:rFonts w:ascii="Arial" w:hAnsi="Arial" w:cs="Arial"/>
          <w:sz w:val="22"/>
          <w:szCs w:val="22"/>
        </w:rPr>
        <w:lastRenderedPageBreak/>
        <w:t>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 xml:space="preserve">En terrenos de propiedad particular no puede ejercitarse el derecho a que se refiere el artículo anterior, ya sea comenzando en él la caza, ya continuando la comenzada en terreno público, </w:t>
      </w:r>
      <w:r w:rsidRPr="007A1D28">
        <w:rPr>
          <w:rFonts w:ascii="Arial" w:hAnsi="Arial" w:cs="Arial"/>
          <w:sz w:val="22"/>
          <w:szCs w:val="22"/>
        </w:rPr>
        <w:lastRenderedPageBreak/>
        <w:t>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 xml:space="preserve">El que sin consentimiento del dueño hiciere en terreno ajeno obras para descubrir un tesoro, estará obligado en todo caso a pagar los daños y perjuicios y, además, a costear la reposición </w:t>
      </w:r>
      <w:r w:rsidRPr="00FB3828">
        <w:rPr>
          <w:rFonts w:ascii="Arial" w:hAnsi="Arial" w:cs="Arial"/>
          <w:sz w:val="22"/>
          <w:szCs w:val="22"/>
        </w:rPr>
        <w:lastRenderedPageBreak/>
        <w:t>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 xml:space="preserve">Los cauces abandonados por corriente de agua que no sean de la Federación, pertenecen a los dueños de los terrenos por donde corren esas aguas. Si la corriente era limítrofe de varios predios, el cauce abandonado pertenece a los propietarios de ambas riberas proporcionalmente </w:t>
      </w:r>
      <w:r w:rsidRPr="007A1D28">
        <w:rPr>
          <w:rFonts w:ascii="Arial" w:hAnsi="Arial" w:cs="Arial"/>
          <w:sz w:val="22"/>
          <w:szCs w:val="22"/>
        </w:rPr>
        <w:lastRenderedPageBreak/>
        <w:t>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 xml:space="preserve">El propietario de un edificio que se apoya en una pared común, puede al derribarlo renunciar o no a la copropiedad. En el primer caso serán de su cuenta todos los gastos necesarios para </w:t>
      </w:r>
      <w:r w:rsidRPr="00AE3149">
        <w:rPr>
          <w:rFonts w:ascii="Arial" w:hAnsi="Arial" w:cs="Arial"/>
          <w:sz w:val="22"/>
          <w:szCs w:val="22"/>
        </w:rPr>
        <w:lastRenderedPageBreak/>
        <w:t>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 xml:space="preserve">La disminución que por las propias causas se verifique, no en los frutos, sino en la misma finca o cosa usufructuada, será de cuenta del propietario; y si éste, para conservar íntegra la </w:t>
      </w:r>
      <w:r w:rsidRPr="00AE3149">
        <w:rPr>
          <w:rFonts w:ascii="Arial" w:hAnsi="Arial" w:cs="Arial"/>
          <w:sz w:val="22"/>
          <w:szCs w:val="22"/>
        </w:rPr>
        <w:lastRenderedPageBreak/>
        <w:t>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w:t>
      </w:r>
      <w:r w:rsidRPr="00AE3149">
        <w:rPr>
          <w:rFonts w:ascii="Arial" w:hAnsi="Arial" w:cs="Arial"/>
          <w:sz w:val="22"/>
          <w:szCs w:val="22"/>
        </w:rPr>
        <w:lastRenderedPageBreak/>
        <w:t xml:space="preserve">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w:t>
      </w:r>
      <w:r w:rsidRPr="00AE3149">
        <w:rPr>
          <w:rFonts w:ascii="Arial" w:hAnsi="Arial" w:cs="Arial"/>
          <w:sz w:val="22"/>
          <w:szCs w:val="22"/>
        </w:rPr>
        <w:lastRenderedPageBreak/>
        <w:t xml:space="preserve">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w:t>
      </w:r>
      <w:r w:rsidRPr="00AE3149">
        <w:rPr>
          <w:rFonts w:ascii="Arial" w:hAnsi="Arial" w:cs="Arial"/>
          <w:sz w:val="22"/>
          <w:szCs w:val="22"/>
        </w:rPr>
        <w:lastRenderedPageBreak/>
        <w:t>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 xml:space="preserve">En los casos de intestado, los descendientes del incapaz de heredar conforme al artículo 1202 heredarán al autor de la sucesión, no debiendo ser excluidos por la falta de su padre; </w:t>
      </w:r>
      <w:r w:rsidRPr="00AE3149">
        <w:rPr>
          <w:rFonts w:ascii="Arial" w:hAnsi="Arial" w:cs="Arial"/>
          <w:sz w:val="22"/>
          <w:szCs w:val="22"/>
        </w:rPr>
        <w:lastRenderedPageBreak/>
        <w:t>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w:t>
      </w:r>
      <w:r w:rsidRPr="004D5F6D">
        <w:rPr>
          <w:rFonts w:ascii="Arial" w:hAnsi="Arial" w:cs="Arial"/>
          <w:sz w:val="22"/>
          <w:szCs w:val="22"/>
        </w:rPr>
        <w:lastRenderedPageBreak/>
        <w:t>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 xml:space="preserve">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lastRenderedPageBreak/>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títulos por los cuales se adquiere, tramite, (sic) modifica, grava o extingue el dominio, la posesión o los demás derechos reales sobre inmuebles;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2881</w:t>
      </w:r>
      <w:r w:rsidR="006810DF">
        <w:rPr>
          <w:rFonts w:ascii="Arial" w:hAnsi="Arial" w:cs="Arial"/>
          <w:b/>
          <w:sz w:val="22"/>
          <w:szCs w:val="22"/>
        </w:rPr>
        <w:t xml:space="preserve">. </w:t>
      </w:r>
      <w:r w:rsidRPr="00AE3149">
        <w:rPr>
          <w:rFonts w:ascii="Arial" w:hAnsi="Arial" w:cs="Arial"/>
          <w:sz w:val="22"/>
          <w:szCs w:val="22"/>
        </w:rPr>
        <w:t>Los documentos que conforme a esta ley deben registrarse y no se registren, sólo producirán efectos entre quiénes los otorgue pero no podrán producir perjuicios a tercero, el cual si podrá aprovecharlos en cuanto le fueren favorables.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2890</w:t>
      </w:r>
      <w:r w:rsidR="006810DF">
        <w:rPr>
          <w:rFonts w:ascii="Arial" w:hAnsi="Arial" w:cs="Arial"/>
          <w:b/>
          <w:sz w:val="22"/>
          <w:szCs w:val="22"/>
        </w:rPr>
        <w:t xml:space="preserve">. </w:t>
      </w:r>
      <w:r w:rsidRPr="00AE3149">
        <w:rPr>
          <w:rFonts w:ascii="Arial" w:hAnsi="Arial" w:cs="Arial"/>
          <w:sz w:val="22"/>
          <w:szCs w:val="22"/>
        </w:rPr>
        <w:t xml:space="preserve">El interesado deberá presentar el título que va a ser registrado y cuando se trate de documentos que impliquen transmisiones o modificaciones de la propiedad de predios o fincas </w:t>
      </w:r>
      <w:proofErr w:type="spellStart"/>
      <w:r w:rsidRPr="00AE3149">
        <w:rPr>
          <w:rFonts w:ascii="Arial" w:hAnsi="Arial" w:cs="Arial"/>
          <w:sz w:val="22"/>
          <w:szCs w:val="22"/>
        </w:rPr>
        <w:t>rústics</w:t>
      </w:r>
      <w:proofErr w:type="spellEnd"/>
      <w:r w:rsidRPr="00AE3149">
        <w:rPr>
          <w:rFonts w:ascii="Arial" w:hAnsi="Arial" w:cs="Arial"/>
          <w:sz w:val="22"/>
          <w:szCs w:val="22"/>
        </w:rPr>
        <w:t xml:space="preserve"> (sic) o urbanas, acompañará un plano de estos. Presentará además dos ejemplares del título y del plano para el registro que se lleva en la Tesorería General del Estado y en la Dirección General de Catastro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2891</w:t>
      </w:r>
      <w:r w:rsidR="006810DF">
        <w:rPr>
          <w:rFonts w:ascii="Arial" w:hAnsi="Arial" w:cs="Arial"/>
          <w:b/>
          <w:sz w:val="22"/>
          <w:szCs w:val="22"/>
        </w:rPr>
        <w:t xml:space="preserve">. </w:t>
      </w:r>
      <w:r w:rsidRPr="00AE3149">
        <w:rPr>
          <w:rFonts w:ascii="Arial" w:hAnsi="Arial" w:cs="Arial"/>
          <w:sz w:val="22"/>
          <w:szCs w:val="22"/>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spellStart"/>
      <w:r w:rsidRPr="00AE3149">
        <w:rPr>
          <w:rFonts w:ascii="Arial" w:hAnsi="Arial" w:cs="Arial"/>
          <w:sz w:val="22"/>
          <w:szCs w:val="22"/>
        </w:rPr>
        <w:t>judicila</w:t>
      </w:r>
      <w:proofErr w:type="spellEnd"/>
      <w:r w:rsidRPr="00AE3149">
        <w:rPr>
          <w:rFonts w:ascii="Arial" w:hAnsi="Arial" w:cs="Arial"/>
          <w:sz w:val="22"/>
          <w:szCs w:val="22"/>
        </w:rPr>
        <w:t xml:space="preserve"> (sic) para que se haga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La naturaleza, situación y linderos de los inmuebles objeto de la inscripción o a los cuales afecte el derecho que debe inscribirse; su medida superficial, nombre y número si constare en el título, o la </w:t>
      </w:r>
      <w:r w:rsidRPr="00AE3149">
        <w:rPr>
          <w:rFonts w:ascii="Arial" w:hAnsi="Arial" w:cs="Arial"/>
          <w:sz w:val="22"/>
          <w:szCs w:val="22"/>
        </w:rPr>
        <w:lastRenderedPageBreak/>
        <w:t>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Tratándose de hipotecas, la época en que podrá exigirse el pago del capital garantido, (sic) y si causare réditos, la tasa o el monto de éstos y la fecha desde que deban correr.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V.- 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w:t>
      </w:r>
      <w:proofErr w:type="spellStart"/>
      <w:r w:rsidRPr="00AE3149">
        <w:rPr>
          <w:rFonts w:ascii="Arial" w:hAnsi="Arial" w:cs="Arial"/>
          <w:sz w:val="22"/>
          <w:szCs w:val="22"/>
        </w:rPr>
        <w:t>denominazición</w:t>
      </w:r>
      <w:proofErr w:type="spellEnd"/>
      <w:r w:rsidRPr="00AE3149">
        <w:rPr>
          <w:rFonts w:ascii="Arial" w:hAnsi="Arial" w:cs="Arial"/>
          <w:sz w:val="22"/>
          <w:szCs w:val="22"/>
        </w:rPr>
        <w:t>;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pre-preventivo, el notario ante quien se otorgó dará aviso preventivo </w:t>
      </w:r>
      <w:r w:rsidRPr="00AE3149">
        <w:rPr>
          <w:rFonts w:ascii="Arial" w:hAnsi="Arial" w:cs="Arial"/>
          <w:sz w:val="22"/>
          <w:szCs w:val="22"/>
        </w:rPr>
        <w:lastRenderedPageBreak/>
        <w:t>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No se recibirá la información sin que previamente se haya dado una amplia publicidad por medio de la prensa y de avisos fijados en los lugares públicos, a la solicitud del </w:t>
      </w:r>
      <w:proofErr w:type="spellStart"/>
      <w:r w:rsidRPr="00AE3149">
        <w:rPr>
          <w:rFonts w:ascii="Arial" w:hAnsi="Arial" w:cs="Arial"/>
          <w:sz w:val="22"/>
          <w:szCs w:val="22"/>
        </w:rPr>
        <w:t>promovente</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 xml:space="preserve">Se adicionan el Capítulo VI BIS al Libro Primero “De las Personas”, Título Noveno “De la Tutela”, denominado “De la Tutela </w:t>
      </w:r>
      <w:proofErr w:type="spellStart"/>
      <w:r w:rsidRPr="006810DF">
        <w:rPr>
          <w:rFonts w:ascii="Arial" w:eastAsiaTheme="minorHAnsi" w:hAnsi="Arial" w:cs="Arial"/>
        </w:rPr>
        <w:t>Autodesignada</w:t>
      </w:r>
      <w:proofErr w:type="spellEnd"/>
      <w:r w:rsidRPr="006810DF">
        <w:rPr>
          <w:rFonts w:ascii="Arial" w:eastAsiaTheme="minorHAnsi" w:hAnsi="Arial" w:cs="Arial"/>
        </w:rPr>
        <w:t>”,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Mezquital así como las poblaciones de </w:t>
      </w:r>
      <w:proofErr w:type="spellStart"/>
      <w:r w:rsidRPr="006810DF">
        <w:rPr>
          <w:rFonts w:ascii="Arial" w:eastAsiaTheme="minorHAnsi" w:hAnsi="Arial" w:cs="Arial"/>
        </w:rPr>
        <w:t>Tayoltita</w:t>
      </w:r>
      <w:proofErr w:type="spellEnd"/>
      <w:r w:rsidRPr="006810DF">
        <w:rPr>
          <w:rFonts w:ascii="Arial" w:eastAsiaTheme="minorHAnsi" w:hAnsi="Arial" w:cs="Arial"/>
        </w:rPr>
        <w:t xml:space="preserve">, San Dimas, Rafael </w:t>
      </w:r>
      <w:proofErr w:type="spellStart"/>
      <w:r w:rsidRPr="006810DF">
        <w:rPr>
          <w:rFonts w:ascii="Arial" w:eastAsiaTheme="minorHAnsi" w:hAnsi="Arial" w:cs="Arial"/>
        </w:rPr>
        <w:t>Buelna</w:t>
      </w:r>
      <w:proofErr w:type="spellEnd"/>
      <w:r w:rsidRPr="006810DF">
        <w:rPr>
          <w:rFonts w:ascii="Arial" w:eastAsiaTheme="minorHAnsi" w:hAnsi="Arial" w:cs="Arial"/>
        </w:rPr>
        <w:t xml:space="preserve">,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II. A las 00:01 horas del día 10 de junio del año 2014, en el Segundo y Tercer Distritos Judiciales del Estado de Durango, integrados de la siguiente manera: Segundo distrito: Ciudad Lerdo como residencia, comprende los municipios de Lerdo y </w:t>
      </w:r>
      <w:proofErr w:type="spellStart"/>
      <w:r w:rsidRPr="006810DF">
        <w:rPr>
          <w:rFonts w:ascii="Arial" w:eastAsiaTheme="minorHAnsi" w:hAnsi="Arial" w:cs="Arial"/>
        </w:rPr>
        <w:t>Mapimí</w:t>
      </w:r>
      <w:proofErr w:type="spellEnd"/>
      <w:r w:rsidRPr="006810DF">
        <w:rPr>
          <w:rFonts w:ascii="Arial" w:eastAsiaTheme="minorHAnsi" w:hAnsi="Arial" w:cs="Arial"/>
        </w:rPr>
        <w:t xml:space="preserve">, excepto en materia penal que corresponde al tercer distrito; Tercer distrito: Gómez Palacio como residencia; comprende el Municipio del mismo nombre y el de </w:t>
      </w:r>
      <w:proofErr w:type="spellStart"/>
      <w:r w:rsidRPr="006810DF">
        <w:rPr>
          <w:rFonts w:ascii="Arial" w:eastAsiaTheme="minorHAnsi" w:hAnsi="Arial" w:cs="Arial"/>
        </w:rPr>
        <w:t>Tlahualilo</w:t>
      </w:r>
      <w:proofErr w:type="spellEnd"/>
      <w:r w:rsidRPr="006810DF">
        <w:rPr>
          <w:rFonts w:ascii="Arial" w:eastAsiaTheme="minorHAnsi" w:hAnsi="Arial" w:cs="Arial"/>
        </w:rPr>
        <w:t>.</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xml:space="preserve">. </w:t>
      </w:r>
      <w:proofErr w:type="gramStart"/>
      <w:r w:rsidRPr="00501631">
        <w:rPr>
          <w:rFonts w:ascii="Arial" w:eastAsia="Arial Unicode MS" w:hAnsi="Arial" w:cs="Arial"/>
        </w:rPr>
        <w:t>a</w:t>
      </w:r>
      <w:proofErr w:type="gramEnd"/>
      <w:r w:rsidRPr="00501631">
        <w:rPr>
          <w:rFonts w:ascii="Arial" w:eastAsia="Arial Unicode MS" w:hAnsi="Arial" w:cs="Arial"/>
        </w:rPr>
        <w:t xml:space="preserve">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lastRenderedPageBreak/>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xml:space="preserve">. </w:t>
      </w:r>
      <w:proofErr w:type="gramStart"/>
      <w:r w:rsidRPr="00A105E0">
        <w:rPr>
          <w:rFonts w:ascii="Arial" w:eastAsia="Arial Unicode MS" w:hAnsi="Arial" w:cs="Arial"/>
          <w:lang w:val="es-MX" w:eastAsia="es-MX"/>
        </w:rPr>
        <w:t>a</w:t>
      </w:r>
      <w:proofErr w:type="gramEnd"/>
      <w:r w:rsidRPr="00A105E0">
        <w:rPr>
          <w:rFonts w:ascii="Arial" w:eastAsia="Arial Unicode MS" w:hAnsi="Arial" w:cs="Arial"/>
          <w:lang w:val="es-MX" w:eastAsia="es-MX"/>
        </w:rPr>
        <w:t xml:space="preserve">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xml:space="preserve">. </w:t>
      </w:r>
      <w:proofErr w:type="gramStart"/>
      <w:r w:rsidRPr="0083468B">
        <w:rPr>
          <w:rFonts w:ascii="Arial" w:eastAsia="Arial Unicode MS" w:hAnsi="Arial" w:cs="Arial"/>
          <w:lang w:val="es-MX" w:eastAsia="es-MX"/>
        </w:rPr>
        <w:t>a</w:t>
      </w:r>
      <w:proofErr w:type="gramEnd"/>
      <w:r w:rsidRPr="0083468B">
        <w:rPr>
          <w:rFonts w:ascii="Arial" w:eastAsia="Arial Unicode MS" w:hAnsi="Arial" w:cs="Arial"/>
          <w:lang w:val="es-MX" w:eastAsia="es-MX"/>
        </w:rPr>
        <w:t xml:space="preserve">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xml:space="preserve">. </w:t>
      </w:r>
      <w:proofErr w:type="gramStart"/>
      <w:r w:rsidRPr="007D01AC">
        <w:rPr>
          <w:rFonts w:ascii="Arial" w:eastAsia="Arial Unicode MS" w:hAnsi="Arial" w:cs="Arial"/>
          <w:lang w:val="es-MX" w:eastAsia="en-US"/>
        </w:rPr>
        <w:t>a</w:t>
      </w:r>
      <w:proofErr w:type="gramEnd"/>
      <w:r w:rsidRPr="007D01AC">
        <w:rPr>
          <w:rFonts w:ascii="Arial" w:eastAsia="Arial Unicode MS" w:hAnsi="Arial" w:cs="Arial"/>
          <w:lang w:val="es-MX" w:eastAsia="en-US"/>
        </w:rPr>
        <w:t xml:space="preserve">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r w:rsidRPr="0086225B">
        <w:rPr>
          <w:rFonts w:ascii="Arial" w:hAnsi="Arial" w:cs="Arial"/>
          <w:b/>
          <w:lang w:val="es-MX" w:eastAsia="es-MX"/>
        </w:rPr>
        <w:lastRenderedPageBreak/>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xml:space="preserve">. </w:t>
      </w:r>
      <w:proofErr w:type="gramStart"/>
      <w:r w:rsidRPr="0086225B">
        <w:rPr>
          <w:rFonts w:ascii="Arial" w:eastAsia="Arial Unicode MS" w:hAnsi="Arial" w:cs="Arial"/>
          <w:lang w:val="es-MX" w:eastAsia="es-MX"/>
        </w:rPr>
        <w:t>a</w:t>
      </w:r>
      <w:proofErr w:type="gramEnd"/>
      <w:r w:rsidRPr="0086225B">
        <w:rPr>
          <w:rFonts w:ascii="Arial" w:eastAsia="Arial Unicode MS" w:hAnsi="Arial" w:cs="Arial"/>
          <w:lang w:val="es-MX" w:eastAsia="es-MX"/>
        </w:rPr>
        <w:t xml:space="preserve">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xml:space="preserve">. </w:t>
      </w:r>
      <w:proofErr w:type="gramStart"/>
      <w:r w:rsidRPr="0086225B">
        <w:rPr>
          <w:rFonts w:ascii="Arial" w:eastAsia="Arial Unicode MS" w:hAnsi="Arial" w:cs="Arial"/>
          <w:lang w:val="es-MX" w:eastAsia="es-MX"/>
        </w:rPr>
        <w:t>a</w:t>
      </w:r>
      <w:proofErr w:type="gramEnd"/>
      <w:r w:rsidRPr="0086225B">
        <w:rPr>
          <w:rFonts w:ascii="Arial" w:eastAsia="Arial Unicode MS" w:hAnsi="Arial" w:cs="Arial"/>
          <w:lang w:val="es-MX" w:eastAsia="es-MX"/>
        </w:rPr>
        <w:t xml:space="preserve">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xml:space="preserve">. </w:t>
      </w:r>
      <w:proofErr w:type="gramStart"/>
      <w:r w:rsidRPr="00F438B5">
        <w:rPr>
          <w:rFonts w:ascii="Arial" w:eastAsia="Arial Unicode MS" w:hAnsi="Arial" w:cs="Arial"/>
          <w:lang w:val="es-MX" w:eastAsia="es-MX"/>
        </w:rPr>
        <w:t>a</w:t>
      </w:r>
      <w:proofErr w:type="gramEnd"/>
      <w:r w:rsidRPr="00F438B5">
        <w:rPr>
          <w:rFonts w:ascii="Arial" w:eastAsia="Arial Unicode MS" w:hAnsi="Arial" w:cs="Arial"/>
          <w:lang w:val="es-MX" w:eastAsia="es-MX"/>
        </w:rPr>
        <w:t xml:space="preserve">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bookmarkStart w:id="0" w:name="_GoBack"/>
      <w:bookmarkEnd w:id="0"/>
    </w:p>
    <w:sectPr w:rsidR="00F438B5" w:rsidRPr="00F438B5"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E92" w:rsidRDefault="00407E92" w:rsidP="00FA3700">
      <w:r>
        <w:separator/>
      </w:r>
    </w:p>
  </w:endnote>
  <w:endnote w:type="continuationSeparator" w:id="0">
    <w:p w:rsidR="00407E92" w:rsidRDefault="00407E92"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14377A" w:rsidRDefault="0014377A">
        <w:pPr>
          <w:pStyle w:val="Piedepgina"/>
          <w:jc w:val="right"/>
        </w:pPr>
        <w:r>
          <w:fldChar w:fldCharType="begin"/>
        </w:r>
        <w:r>
          <w:instrText xml:space="preserve"> PAGE   \* MERGEFORMAT </w:instrText>
        </w:r>
        <w:r>
          <w:fldChar w:fldCharType="separate"/>
        </w:r>
        <w:r w:rsidR="00F438B5">
          <w:rPr>
            <w:noProof/>
          </w:rPr>
          <w:t>369</w:t>
        </w:r>
        <w:r>
          <w:rPr>
            <w:noProof/>
          </w:rPr>
          <w:fldChar w:fldCharType="end"/>
        </w:r>
      </w:p>
    </w:sdtContent>
  </w:sdt>
  <w:p w:rsidR="0014377A" w:rsidRDefault="001437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E92" w:rsidRDefault="00407E92" w:rsidP="00FA3700">
      <w:r>
        <w:separator/>
      </w:r>
    </w:p>
  </w:footnote>
  <w:footnote w:type="continuationSeparator" w:id="0">
    <w:p w:rsidR="00407E92" w:rsidRDefault="00407E92"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14377A"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14377A" w:rsidTr="004D28F6">
            <w:trPr>
              <w:trHeight w:val="1402"/>
            </w:trPr>
            <w:tc>
              <w:tcPr>
                <w:tcW w:w="4570" w:type="dxa"/>
              </w:tcPr>
              <w:p w:rsidR="0014377A" w:rsidRDefault="0014377A" w:rsidP="00B84F60">
                <w:pPr>
                  <w:pStyle w:val="Encabezado"/>
                  <w:rPr>
                    <w:rFonts w:ascii="Candara" w:hAnsi="Candara" w:cs="Arial"/>
                    <w:i/>
                    <w:sz w:val="18"/>
                    <w:szCs w:val="18"/>
                  </w:rPr>
                </w:pPr>
                <w:r w:rsidRPr="00E461D8">
                  <w:rPr>
                    <w:noProof/>
                    <w:lang w:val="es-MX" w:eastAsia="es-MX"/>
                  </w:rPr>
                  <w:drawing>
                    <wp:inline distT="0" distB="0" distL="0" distR="0" wp14:anchorId="4BEB0AF1" wp14:editId="130F9D97">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14377A" w:rsidRDefault="0014377A" w:rsidP="00F8571A">
                <w:pPr>
                  <w:pStyle w:val="Encabezado"/>
                  <w:tabs>
                    <w:tab w:val="clear" w:pos="4252"/>
                  </w:tabs>
                  <w:rPr>
                    <w:rFonts w:ascii="Candara" w:hAnsi="Candara" w:cs="Arial"/>
                    <w:b/>
                    <w:i/>
                    <w:sz w:val="18"/>
                    <w:szCs w:val="18"/>
                  </w:rPr>
                </w:pPr>
              </w:p>
              <w:p w:rsidR="0014377A" w:rsidRPr="00A16A75" w:rsidRDefault="0014377A"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14377A" w:rsidRPr="004D28F6" w:rsidRDefault="0014377A" w:rsidP="00655FCC">
                <w:pPr>
                  <w:pStyle w:val="Encabezado"/>
                  <w:tabs>
                    <w:tab w:val="clear" w:pos="4252"/>
                  </w:tabs>
                  <w:rPr>
                    <w:rFonts w:ascii="Arial" w:hAnsi="Arial" w:cs="Arial"/>
                    <w:b/>
                    <w:i/>
                    <w:sz w:val="18"/>
                    <w:szCs w:val="18"/>
                  </w:rPr>
                </w:pPr>
              </w:p>
              <w:p w:rsidR="0014377A" w:rsidRPr="004D28F6" w:rsidRDefault="0014377A" w:rsidP="00FA3700">
                <w:pPr>
                  <w:pStyle w:val="Encabezado"/>
                  <w:jc w:val="center"/>
                  <w:rPr>
                    <w:rFonts w:ascii="Arial" w:hAnsi="Arial" w:cs="Arial"/>
                    <w:b/>
                    <w:i/>
                    <w:sz w:val="18"/>
                    <w:szCs w:val="18"/>
                  </w:rPr>
                </w:pPr>
              </w:p>
              <w:p w:rsidR="0014377A" w:rsidRPr="004D28F6" w:rsidRDefault="0014377A" w:rsidP="00FA3700">
                <w:pPr>
                  <w:pStyle w:val="Encabezado"/>
                  <w:jc w:val="center"/>
                  <w:rPr>
                    <w:rFonts w:ascii="Arial" w:hAnsi="Arial" w:cs="Arial"/>
                    <w:b/>
                    <w:i/>
                    <w:sz w:val="18"/>
                    <w:szCs w:val="18"/>
                  </w:rPr>
                </w:pPr>
              </w:p>
              <w:p w:rsidR="0014377A" w:rsidRPr="004D28F6" w:rsidRDefault="0014377A"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14377A" w:rsidRPr="004D28F6" w:rsidRDefault="0014377A"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14377A" w:rsidRPr="00B0106B" w:rsidRDefault="0014377A" w:rsidP="00DF5761">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39</w:t>
                </w:r>
                <w:r w:rsidR="00DF5761">
                  <w:rPr>
                    <w:rFonts w:asciiTheme="minorHAnsi" w:eastAsiaTheme="minorHAnsi" w:hAnsiTheme="minorHAnsi" w:cs="Arial"/>
                    <w:i/>
                    <w:color w:val="000000" w:themeColor="text1"/>
                    <w:sz w:val="14"/>
                    <w:szCs w:val="16"/>
                  </w:rPr>
                  <w:t>8</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P.O. 5</w:t>
                </w:r>
                <w:r w:rsidR="00DF5761">
                  <w:rPr>
                    <w:rFonts w:asciiTheme="minorHAnsi" w:eastAsiaTheme="minorHAnsi" w:hAnsiTheme="minorHAnsi" w:cs="Arial"/>
                    <w:i/>
                    <w:color w:val="000000" w:themeColor="text1"/>
                    <w:sz w:val="14"/>
                    <w:szCs w:val="16"/>
                  </w:rPr>
                  <w:t>2</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1</w:t>
                </w:r>
                <w:r w:rsidRPr="004D28F6">
                  <w:rPr>
                    <w:rFonts w:asciiTheme="minorHAnsi" w:eastAsiaTheme="minorHAnsi" w:hAnsiTheme="minorHAnsi" w:cs="Arial"/>
                    <w:i/>
                    <w:color w:val="000000" w:themeColor="text1"/>
                    <w:sz w:val="14"/>
                    <w:szCs w:val="16"/>
                  </w:rPr>
                  <w:t xml:space="preserve"> DE </w:t>
                </w:r>
                <w:r>
                  <w:rPr>
                    <w:rFonts w:asciiTheme="minorHAnsi" w:eastAsiaTheme="minorHAnsi" w:hAnsiTheme="minorHAnsi" w:cs="Arial"/>
                    <w:i/>
                    <w:color w:val="000000" w:themeColor="text1"/>
                    <w:sz w:val="14"/>
                    <w:szCs w:val="16"/>
                  </w:rPr>
                  <w:t>JULIO</w:t>
                </w:r>
                <w:r w:rsidRPr="004D28F6">
                  <w:rPr>
                    <w:rFonts w:asciiTheme="minorHAnsi" w:eastAsiaTheme="minorHAnsi" w:hAnsiTheme="minorHAnsi" w:cs="Arial"/>
                    <w:i/>
                    <w:color w:val="000000" w:themeColor="text1"/>
                    <w:sz w:val="14"/>
                    <w:szCs w:val="16"/>
                  </w:rPr>
                  <w:t xml:space="preserve"> DE 201</w:t>
                </w:r>
                <w:r>
                  <w:rPr>
                    <w:rFonts w:asciiTheme="minorHAnsi" w:eastAsiaTheme="minorHAnsi" w:hAnsiTheme="minorHAnsi" w:cs="Arial"/>
                    <w:i/>
                    <w:color w:val="000000" w:themeColor="text1"/>
                    <w:sz w:val="14"/>
                    <w:szCs w:val="16"/>
                  </w:rPr>
                  <w:t>8</w:t>
                </w:r>
                <w:r w:rsidRPr="004D28F6">
                  <w:rPr>
                    <w:rFonts w:asciiTheme="minorHAnsi" w:eastAsiaTheme="minorHAnsi" w:hAnsiTheme="minorHAnsi" w:cs="Arial"/>
                    <w:i/>
                    <w:color w:val="000000" w:themeColor="text1"/>
                    <w:sz w:val="14"/>
                    <w:szCs w:val="16"/>
                  </w:rPr>
                  <w:t>.</w:t>
                </w:r>
              </w:p>
            </w:tc>
          </w:tr>
        </w:tbl>
        <w:p w:rsidR="0014377A" w:rsidRPr="00340D16" w:rsidRDefault="0014377A" w:rsidP="00680DC6">
          <w:pPr>
            <w:pStyle w:val="Encabezado"/>
            <w:jc w:val="center"/>
          </w:pPr>
        </w:p>
      </w:tc>
    </w:tr>
  </w:tbl>
  <w:p w:rsidR="0014377A" w:rsidRDefault="0014377A" w:rsidP="00435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A528B"/>
    <w:rsid w:val="000A5C58"/>
    <w:rsid w:val="000A770E"/>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426F"/>
    <w:rsid w:val="00155263"/>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9A8"/>
    <w:rsid w:val="001B6D9D"/>
    <w:rsid w:val="001B705D"/>
    <w:rsid w:val="001C5D26"/>
    <w:rsid w:val="001C6ABA"/>
    <w:rsid w:val="001D053D"/>
    <w:rsid w:val="001D207E"/>
    <w:rsid w:val="001D285E"/>
    <w:rsid w:val="001D3A5F"/>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E0119"/>
    <w:rsid w:val="002F5A3A"/>
    <w:rsid w:val="002F6873"/>
    <w:rsid w:val="002F7B59"/>
    <w:rsid w:val="003045C9"/>
    <w:rsid w:val="00306D20"/>
    <w:rsid w:val="00312DAE"/>
    <w:rsid w:val="00312EFA"/>
    <w:rsid w:val="00314F48"/>
    <w:rsid w:val="00322BCB"/>
    <w:rsid w:val="00323CEB"/>
    <w:rsid w:val="00333E58"/>
    <w:rsid w:val="00354BB1"/>
    <w:rsid w:val="00355993"/>
    <w:rsid w:val="003658FE"/>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93F"/>
    <w:rsid w:val="0057440E"/>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E78"/>
    <w:rsid w:val="00697B1A"/>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8197C"/>
    <w:rsid w:val="00A943D3"/>
    <w:rsid w:val="00A9488C"/>
    <w:rsid w:val="00AA7000"/>
    <w:rsid w:val="00AC4388"/>
    <w:rsid w:val="00AC7A60"/>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7ADA"/>
    <w:rsid w:val="00B73DB3"/>
    <w:rsid w:val="00B822C3"/>
    <w:rsid w:val="00B84F60"/>
    <w:rsid w:val="00B95D3C"/>
    <w:rsid w:val="00B969BB"/>
    <w:rsid w:val="00BA7972"/>
    <w:rsid w:val="00BB49E6"/>
    <w:rsid w:val="00BC40EB"/>
    <w:rsid w:val="00BD3B89"/>
    <w:rsid w:val="00BD62E9"/>
    <w:rsid w:val="00BE73DE"/>
    <w:rsid w:val="00BF24D9"/>
    <w:rsid w:val="00BF73B1"/>
    <w:rsid w:val="00C02CFC"/>
    <w:rsid w:val="00C04C9F"/>
    <w:rsid w:val="00C06EDC"/>
    <w:rsid w:val="00C114D5"/>
    <w:rsid w:val="00C139F5"/>
    <w:rsid w:val="00C20F27"/>
    <w:rsid w:val="00C30A1C"/>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CC3"/>
    <w:rsid w:val="00CF5287"/>
    <w:rsid w:val="00D01A70"/>
    <w:rsid w:val="00D06331"/>
    <w:rsid w:val="00D12699"/>
    <w:rsid w:val="00D162A5"/>
    <w:rsid w:val="00D32A6A"/>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F5761"/>
    <w:rsid w:val="00DF5DC5"/>
    <w:rsid w:val="00DF66D6"/>
    <w:rsid w:val="00DF6D99"/>
    <w:rsid w:val="00E02179"/>
    <w:rsid w:val="00E021FD"/>
    <w:rsid w:val="00E338FF"/>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438B5"/>
    <w:rsid w:val="00F552CB"/>
    <w:rsid w:val="00F618B0"/>
    <w:rsid w:val="00F62EC8"/>
    <w:rsid w:val="00F73208"/>
    <w:rsid w:val="00F810A0"/>
    <w:rsid w:val="00F8571A"/>
    <w:rsid w:val="00F85F2E"/>
    <w:rsid w:val="00F8633F"/>
    <w:rsid w:val="00FA3700"/>
    <w:rsid w:val="00FB3536"/>
    <w:rsid w:val="00FB3828"/>
    <w:rsid w:val="00FB3B66"/>
    <w:rsid w:val="00FB736C"/>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6FB0-9667-479F-88F6-8E8E94CA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371</Pages>
  <Words>132321</Words>
  <Characters>727769</Characters>
  <Application>Microsoft Office Word</Application>
  <DocSecurity>0</DocSecurity>
  <Lines>6064</Lines>
  <Paragraphs>1716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5</cp:revision>
  <cp:lastPrinted>2017-03-14T20:17:00Z</cp:lastPrinted>
  <dcterms:created xsi:type="dcterms:W3CDTF">2018-09-13T15:35:00Z</dcterms:created>
  <dcterms:modified xsi:type="dcterms:W3CDTF">2018-09-13T15:44:00Z</dcterms:modified>
</cp:coreProperties>
</file>