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6F22DE" w:rsidRDefault="006F22DE" w:rsidP="006F22DE">
      <w:pPr>
        <w:jc w:val="center"/>
        <w:rPr>
          <w:rFonts w:asciiTheme="minorHAnsi" w:hAnsiTheme="minorHAnsi"/>
          <w:sz w:val="16"/>
          <w:szCs w:val="16"/>
        </w:rPr>
      </w:pPr>
    </w:p>
    <w:p w:rsidR="006F22DE" w:rsidRDefault="006F22DE" w:rsidP="006F22DE">
      <w:pPr>
        <w:jc w:val="center"/>
        <w:rPr>
          <w:rFonts w:asciiTheme="minorHAnsi" w:hAnsiTheme="minorHAnsi"/>
          <w:sz w:val="16"/>
          <w:szCs w:val="16"/>
        </w:rPr>
      </w:pPr>
    </w:p>
    <w:p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 xml:space="preserve">Nadie puede ser molestado en su persona, familia, domicilio, papeles o posesiones, sino en virtud de mandamiento escrito de la autoridad competente, que funde y motive la causa legal </w:t>
      </w:r>
      <w:r w:rsidR="00456F0C" w:rsidRPr="00456F0C">
        <w:rPr>
          <w:rFonts w:ascii="Arial" w:eastAsia="Calibri" w:hAnsi="Arial" w:cs="Arial"/>
          <w:sz w:val="22"/>
          <w:szCs w:val="22"/>
          <w:lang w:val="es-ES" w:eastAsia="en-US"/>
        </w:rPr>
        <w:lastRenderedPageBreak/>
        <w:t>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w:t>
      </w:r>
      <w:r w:rsidRPr="00FF6C96">
        <w:rPr>
          <w:rFonts w:ascii="Arial" w:hAnsi="Arial" w:cs="Arial"/>
          <w:sz w:val="22"/>
          <w:szCs w:val="22"/>
        </w:rPr>
        <w:lastRenderedPageBreak/>
        <w:t>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0" w:name="_Hlk34314134"/>
      <w:r>
        <w:rPr>
          <w:rFonts w:asciiTheme="minorHAnsi" w:eastAsia="Calibri" w:hAnsiTheme="minorHAnsi" w:cstheme="minorHAnsi"/>
          <w:color w:val="0070C0"/>
          <w:sz w:val="16"/>
          <w:szCs w:val="16"/>
          <w:lang w:eastAsia="en-US"/>
        </w:rPr>
        <w:t>REFORMADO POR DEC. 193 P.O. 15 DEL 20 DE FEBRERO DE 2020.</w:t>
      </w:r>
      <w:bookmarkEnd w:id="0"/>
    </w:p>
    <w:p w:rsidR="00456F0C" w:rsidRDefault="00456F0C"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miembros de comunidades indígenas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 xml:space="preserve">Toda persona detenida en flagrancia y tratándose de delitos perseguibles por querella o de aquellos cuya pena media aritmética, incluyendo sus modalidades, no exceda de 3 años podrá solicitar </w:t>
      </w:r>
      <w:r w:rsidRPr="002D04BA">
        <w:rPr>
          <w:rFonts w:ascii="Arial" w:hAnsi="Arial" w:cs="Arial"/>
          <w:sz w:val="22"/>
          <w:szCs w:val="22"/>
        </w:rPr>
        <w:lastRenderedPageBreak/>
        <w:t>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w:t>
      </w:r>
      <w:r w:rsidRPr="002D04BA">
        <w:rPr>
          <w:rFonts w:ascii="Arial" w:hAnsi="Arial" w:cs="Arial"/>
          <w:sz w:val="22"/>
          <w:szCs w:val="22"/>
        </w:rPr>
        <w:lastRenderedPageBreak/>
        <w:t>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rsidR="003259A8" w:rsidRPr="003259A8" w:rsidRDefault="003259A8" w:rsidP="003259A8">
      <w:pPr>
        <w:jc w:val="both"/>
        <w:rPr>
          <w:rFonts w:ascii="Arial" w:hAnsi="Arial" w:cs="Arial"/>
          <w:sz w:val="22"/>
          <w:szCs w:val="22"/>
          <w:lang w:val="es-ES"/>
        </w:rPr>
      </w:pPr>
    </w:p>
    <w:p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proofErr w:type="gramStart"/>
      <w:r w:rsidRPr="002D04BA">
        <w:rPr>
          <w:rFonts w:ascii="Arial" w:hAnsi="Arial" w:cs="Arial"/>
          <w:sz w:val="22"/>
          <w:szCs w:val="22"/>
        </w:rPr>
        <w:t>tanto</w:t>
      </w:r>
      <w:proofErr w:type="gramEnd"/>
      <w:r w:rsidRPr="002D04BA">
        <w:rPr>
          <w:rFonts w:ascii="Arial" w:hAnsi="Arial" w:cs="Arial"/>
          <w:sz w:val="22"/>
          <w:szCs w:val="22"/>
        </w:rPr>
        <w:t xml:space="preserve">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proofErr w:type="gramStart"/>
      <w:r w:rsidR="0072763A" w:rsidRPr="002D04BA">
        <w:rPr>
          <w:rFonts w:ascii="Arial" w:hAnsi="Arial" w:cs="Arial"/>
          <w:sz w:val="22"/>
          <w:szCs w:val="22"/>
        </w:rPr>
        <w:t>que</w:t>
      </w:r>
      <w:proofErr w:type="gramEnd"/>
      <w:r w:rsidR="0072763A" w:rsidRPr="002D04BA">
        <w:rPr>
          <w:rFonts w:ascii="Arial" w:hAnsi="Arial" w:cs="Arial"/>
          <w:sz w:val="22"/>
          <w:szCs w:val="22"/>
        </w:rPr>
        <w:t xml:space="preserv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DE2DDE">
      <w:pPr>
        <w:pStyle w:val="Ttulo2"/>
      </w:pPr>
      <w:r w:rsidRPr="002A4145">
        <w:t>TÍTULO SEGUNDO</w:t>
      </w:r>
    </w:p>
    <w:p w:rsidR="0072763A" w:rsidRPr="002A4145" w:rsidRDefault="0087385B" w:rsidP="00DE2DDE">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w:t>
      </w:r>
      <w:r w:rsidRPr="00BA7C0B">
        <w:rPr>
          <w:rFonts w:ascii="Arial" w:hAnsi="Arial" w:cs="Arial"/>
          <w:sz w:val="22"/>
          <w:szCs w:val="22"/>
          <w:lang w:val="es-ES_tradnl"/>
        </w:rPr>
        <w:lastRenderedPageBreak/>
        <w:t>estatal y municipal moderno. La mejora regulatoria se sujetará a los principios señalados en la Ley de la materia.</w:t>
      </w:r>
    </w:p>
    <w:p w:rsidR="0072763A" w:rsidRPr="00BA7C0B" w:rsidRDefault="00BA7C0B" w:rsidP="00BA7C0B">
      <w:pPr>
        <w:pStyle w:val="NormalWeb"/>
        <w:spacing w:before="0" w:beforeAutospacing="0" w:after="0" w:afterAutospacing="0"/>
        <w:jc w:val="right"/>
        <w:rPr>
          <w:rFonts w:ascii="Arial" w:eastAsia="Calibri" w:hAnsi="Arial" w:cs="Arial"/>
          <w:color w:val="0070C0"/>
          <w:sz w:val="16"/>
          <w:szCs w:val="16"/>
          <w:lang w:val="es-MX" w:eastAsia="en-US"/>
        </w:rPr>
      </w:pPr>
      <w:r>
        <w:rPr>
          <w:rFonts w:ascii="Arial" w:eastAsia="Calibri" w:hAnsi="Arial" w:cs="Arial"/>
          <w:color w:val="0070C0"/>
          <w:sz w:val="16"/>
          <w:szCs w:val="16"/>
          <w:lang w:val="es-MX" w:eastAsia="en-US"/>
        </w:rPr>
        <w:t>ARTICULO REFORMADO POR DEC. 97, P.O. 77 DEL</w:t>
      </w:r>
      <w:r w:rsidR="00D41F71">
        <w:rPr>
          <w:rFonts w:ascii="Arial" w:eastAsia="Calibri" w:hAnsi="Arial" w:cs="Arial"/>
          <w:color w:val="0070C0"/>
          <w:sz w:val="16"/>
          <w:szCs w:val="16"/>
          <w:lang w:val="es-MX" w:eastAsia="en-US"/>
        </w:rPr>
        <w:t xml:space="preserve"> 26 DE SEPTIEMBRE DE 2019.</w:t>
      </w:r>
    </w:p>
    <w:p w:rsidR="00BA7C0B" w:rsidRPr="002D04BA" w:rsidRDefault="00BA7C0B"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 xml:space="preserve">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w:t>
      </w:r>
      <w:r w:rsidR="0072763A" w:rsidRPr="002D04BA">
        <w:rPr>
          <w:rFonts w:ascii="Arial" w:hAnsi="Arial" w:cs="Arial"/>
          <w:sz w:val="22"/>
          <w:szCs w:val="22"/>
        </w:rPr>
        <w:lastRenderedPageBreak/>
        <w:t>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DE2DDE">
      <w:pPr>
        <w:pStyle w:val="Ttulo2"/>
      </w:pPr>
      <w:r w:rsidRPr="00D73D09">
        <w:t>TÍTULO TERCERO</w:t>
      </w:r>
    </w:p>
    <w:p w:rsidR="0072763A" w:rsidRPr="00D73D09" w:rsidRDefault="00D73D09" w:rsidP="00DE2DDE">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lastRenderedPageBreak/>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DE2DDE">
      <w:pPr>
        <w:pStyle w:val="Ttulo2"/>
      </w:pPr>
      <w:r w:rsidRPr="00D73D09">
        <w:t>TÍTULO CUARTO</w:t>
      </w:r>
    </w:p>
    <w:p w:rsidR="0072763A" w:rsidRPr="00D73D09" w:rsidRDefault="00D73D09" w:rsidP="00DE2DD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el procedimiento para la liquidación de las obligaciones de los partidos locales que pierdan su registro y los supuestos en los que sus bienes y remanentes serán adjudicados al Estado o </w:t>
      </w:r>
      <w:r w:rsidRPr="002D04BA">
        <w:rPr>
          <w:rFonts w:ascii="Arial" w:hAnsi="Arial" w:cs="Arial"/>
          <w:color w:val="000000" w:themeColor="text1"/>
          <w:sz w:val="22"/>
          <w:szCs w:val="22"/>
        </w:rPr>
        <w:lastRenderedPageBreak/>
        <w:t>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proofErr w:type="gramStart"/>
      <w:r w:rsidR="006C1521"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w:t>
      </w:r>
      <w:proofErr w:type="gramEnd"/>
      <w:r w:rsidR="00D73D09">
        <w:rPr>
          <w:rFonts w:asciiTheme="minorHAnsi" w:hAnsiTheme="minorHAnsi" w:cs="Arial"/>
          <w:i/>
          <w:color w:val="0070C0"/>
          <w:sz w:val="14"/>
          <w:szCs w:val="22"/>
        </w:rPr>
        <w:t xml:space="preserve">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lastRenderedPageBreak/>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lastRenderedPageBreak/>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 xml:space="preserve">Dentro del primer periodo ordinario de sesiones que siga a la instalación de la Legislatura, el Congreso del Estado aprobará el Plan de Desarrollo Institucional, que regirá para los </w:t>
      </w:r>
      <w:r w:rsidR="005D69E8" w:rsidRPr="005D69E8">
        <w:rPr>
          <w:rFonts w:ascii="Arial" w:hAnsi="Arial" w:cs="Arial"/>
          <w:color w:val="000000"/>
          <w:sz w:val="22"/>
        </w:rPr>
        <w:lastRenderedPageBreak/>
        <w:t>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w:t>
      </w:r>
      <w:r w:rsidRPr="00FF6C96">
        <w:rPr>
          <w:rFonts w:ascii="Arial" w:hAnsi="Arial" w:cs="Arial"/>
          <w:sz w:val="22"/>
          <w:szCs w:val="22"/>
        </w:rPr>
        <w:lastRenderedPageBreak/>
        <w:t xml:space="preserve">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 xml:space="preserve">Ratificar al Fiscal General del Estado, al </w:t>
      </w:r>
      <w:proofErr w:type="gramStart"/>
      <w:r w:rsidR="005C09E4" w:rsidRPr="005C09E4">
        <w:rPr>
          <w:rFonts w:ascii="Arial" w:hAnsi="Arial" w:cs="Arial"/>
          <w:sz w:val="22"/>
          <w:szCs w:val="22"/>
        </w:rPr>
        <w:t>Secretario</w:t>
      </w:r>
      <w:proofErr w:type="gramEnd"/>
      <w:r w:rsidR="005C09E4" w:rsidRPr="005C09E4">
        <w:rPr>
          <w:rFonts w:ascii="Arial" w:hAnsi="Arial" w:cs="Arial"/>
          <w:sz w:val="22"/>
          <w:szCs w:val="22"/>
        </w:rPr>
        <w:t xml:space="preserve">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E00942" w:rsidRPr="00E00942">
        <w:rPr>
          <w:rFonts w:ascii="Arial" w:hAnsi="Arial" w:cs="Arial"/>
          <w:sz w:val="22"/>
          <w:szCs w:val="22"/>
        </w:rPr>
        <w:t>las  investigaciones</w:t>
      </w:r>
      <w:proofErr w:type="gramEnd"/>
      <w:r w:rsidR="00E00942" w:rsidRPr="00E00942">
        <w:rPr>
          <w:rFonts w:ascii="Arial" w:hAnsi="Arial" w:cs="Arial"/>
          <w:sz w:val="22"/>
          <w:szCs w:val="22"/>
        </w:rPr>
        <w:t xml:space="preserve">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873802" w:rsidRDefault="00873802" w:rsidP="0087385B">
      <w:pPr>
        <w:tabs>
          <w:tab w:val="left" w:pos="993"/>
        </w:tabs>
        <w:jc w:val="both"/>
        <w:rPr>
          <w:rFonts w:ascii="Arial" w:hAnsi="Arial" w:cs="Arial"/>
          <w:sz w:val="22"/>
          <w:szCs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lastRenderedPageBreak/>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proofErr w:type="spellStart"/>
      <w:r w:rsidRPr="000962E3">
        <w:rPr>
          <w:rFonts w:ascii="Arial" w:hAnsi="Arial" w:cs="Arial"/>
          <w:color w:val="000000"/>
          <w:sz w:val="22"/>
        </w:rPr>
        <w:t>aún</w:t>
      </w:r>
      <w:proofErr w:type="spellEnd"/>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w:t>
      </w:r>
      <w:proofErr w:type="gramStart"/>
      <w:r w:rsidRPr="000962E3">
        <w:rPr>
          <w:rFonts w:ascii="Arial" w:hAnsi="Arial" w:cs="Arial"/>
          <w:color w:val="000000"/>
          <w:sz w:val="22"/>
        </w:rPr>
        <w:t xml:space="preserve">Infractores,   </w:t>
      </w:r>
      <w:proofErr w:type="gramEnd"/>
      <w:r w:rsidRPr="000962E3">
        <w:rPr>
          <w:rFonts w:ascii="Arial" w:hAnsi="Arial" w:cs="Arial"/>
          <w:color w:val="000000"/>
          <w:sz w:val="22"/>
        </w:rPr>
        <w:t>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proofErr w:type="gramStart"/>
      <w:r>
        <w:rPr>
          <w:rFonts w:asciiTheme="minorHAnsi" w:hAnsiTheme="minorHAnsi"/>
          <w:i/>
          <w:color w:val="0070C0"/>
          <w:sz w:val="14"/>
        </w:rPr>
        <w:t>FRACCIÓN  ADICIONADA</w:t>
      </w:r>
      <w:proofErr w:type="gramEnd"/>
      <w:r>
        <w:rPr>
          <w:rFonts w:asciiTheme="minorHAnsi" w:hAnsiTheme="minorHAnsi"/>
          <w:i/>
          <w:color w:val="0070C0"/>
          <w:sz w:val="14"/>
        </w:rPr>
        <w:t xml:space="preserve">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 xml:space="preserve">El Congreso del Estado, en los días posteriores a la entrega del informe de gestión gubernamental que rinda el Gobernador del Estado, citará a los Secretarios de Despacho y, en su caso, </w:t>
      </w:r>
      <w:r w:rsidR="000962E3" w:rsidRPr="000962E3">
        <w:rPr>
          <w:rFonts w:ascii="Arial" w:hAnsi="Arial" w:cs="Arial"/>
          <w:color w:val="000000"/>
          <w:sz w:val="22"/>
          <w:szCs w:val="22"/>
        </w:rPr>
        <w:lastRenderedPageBreak/>
        <w:t>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proofErr w:type="gramStart"/>
      <w:r w:rsidRPr="00962926">
        <w:rPr>
          <w:rFonts w:ascii="Arial" w:hAnsi="Arial" w:cs="Arial"/>
          <w:b/>
          <w:sz w:val="22"/>
          <w:szCs w:val="22"/>
        </w:rPr>
        <w:t xml:space="preserve">- </w:t>
      </w:r>
      <w:r w:rsidR="006D7892">
        <w:rPr>
          <w:rFonts w:ascii="Arial" w:hAnsi="Arial" w:cs="Arial"/>
          <w:b/>
          <w:sz w:val="22"/>
          <w:szCs w:val="22"/>
        </w:rPr>
        <w:t xml:space="preserve"> </w:t>
      </w:r>
      <w:r w:rsidR="000962E3" w:rsidRPr="000962E3">
        <w:rPr>
          <w:rFonts w:ascii="Arial" w:hAnsi="Arial" w:cs="Arial"/>
          <w:color w:val="000000"/>
          <w:sz w:val="22"/>
        </w:rPr>
        <w:t>El</w:t>
      </w:r>
      <w:proofErr w:type="gramEnd"/>
      <w:r w:rsidR="000962E3" w:rsidRPr="000962E3">
        <w:rPr>
          <w:rFonts w:ascii="Arial" w:hAnsi="Arial" w:cs="Arial"/>
          <w:color w:val="000000"/>
          <w:sz w:val="22"/>
        </w:rPr>
        <w:t xml:space="preserve">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proofErr w:type="gramStart"/>
      <w:r w:rsidRPr="000962E3">
        <w:rPr>
          <w:rFonts w:ascii="Arial" w:hAnsi="Arial" w:cs="Arial"/>
          <w:color w:val="000000"/>
          <w:sz w:val="22"/>
        </w:rPr>
        <w:t>y  de</w:t>
      </w:r>
      <w:proofErr w:type="gramEnd"/>
      <w:r w:rsidRPr="000962E3">
        <w:rPr>
          <w:rFonts w:ascii="Arial" w:hAnsi="Arial" w:cs="Arial"/>
          <w:color w:val="000000"/>
          <w:sz w:val="22"/>
        </w:rPr>
        <w:t xml:space="preserv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lastRenderedPageBreak/>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No ser Secretario o Subsecretario, Consejero o Comisionado de un órgano constitucional autónomo, Magistrado o Consejero del Poder Judicial, Auditor Superior del </w:t>
      </w:r>
      <w:proofErr w:type="gramStart"/>
      <w:r w:rsidRPr="002D04BA">
        <w:rPr>
          <w:rFonts w:ascii="Arial" w:hAnsi="Arial" w:cs="Arial"/>
          <w:sz w:val="22"/>
          <w:szCs w:val="22"/>
        </w:rPr>
        <w:t>Estado,  Presidente</w:t>
      </w:r>
      <w:proofErr w:type="gramEnd"/>
      <w:r w:rsidRPr="002D04BA">
        <w:rPr>
          <w:rFonts w:ascii="Arial" w:hAnsi="Arial" w:cs="Arial"/>
          <w:sz w:val="22"/>
          <w:szCs w:val="22"/>
        </w:rPr>
        <w:t xml:space="preserv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Proponer al </w:t>
      </w:r>
      <w:proofErr w:type="gramStart"/>
      <w:r w:rsidRPr="002D04BA">
        <w:rPr>
          <w:rFonts w:ascii="Arial" w:hAnsi="Arial" w:cs="Arial"/>
          <w:sz w:val="22"/>
          <w:szCs w:val="22"/>
        </w:rPr>
        <w:t>Consejero</w:t>
      </w:r>
      <w:proofErr w:type="gramEnd"/>
      <w:r w:rsidRPr="002D04BA">
        <w:rPr>
          <w:rFonts w:ascii="Arial" w:hAnsi="Arial" w:cs="Arial"/>
          <w:sz w:val="22"/>
          <w:szCs w:val="22"/>
        </w:rPr>
        <w:t xml:space="preserve">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proofErr w:type="gramStart"/>
      <w:r w:rsidRPr="002D04BA">
        <w:rPr>
          <w:rFonts w:ascii="Arial" w:hAnsi="Arial" w:cs="Arial"/>
          <w:sz w:val="22"/>
          <w:szCs w:val="22"/>
        </w:rPr>
        <w:t>harán  con</w:t>
      </w:r>
      <w:proofErr w:type="gramEnd"/>
      <w:r w:rsidRPr="002D04BA">
        <w:rPr>
          <w:rFonts w:ascii="Arial" w:hAnsi="Arial" w:cs="Arial"/>
          <w:sz w:val="22"/>
          <w:szCs w:val="22"/>
        </w:rPr>
        <w:t xml:space="preserve">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w:t>
      </w:r>
      <w:r w:rsidRPr="002D04BA">
        <w:rPr>
          <w:rFonts w:ascii="Arial" w:hAnsi="Arial" w:cs="Arial"/>
          <w:sz w:val="22"/>
          <w:szCs w:val="22"/>
        </w:rPr>
        <w:lastRenderedPageBreak/>
        <w:t>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2D04BA">
        <w:rPr>
          <w:rFonts w:ascii="Arial" w:hAnsi="Arial" w:cs="Arial"/>
          <w:sz w:val="22"/>
          <w:szCs w:val="22"/>
        </w:rPr>
        <w:t>carácter definitiva</w:t>
      </w:r>
      <w:proofErr w:type="gramEnd"/>
      <w:r w:rsidRPr="002D04BA">
        <w:rPr>
          <w:rFonts w:ascii="Arial" w:hAnsi="Arial" w:cs="Arial"/>
          <w:sz w:val="22"/>
          <w:szCs w:val="22"/>
        </w:rPr>
        <w:t>.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 xml:space="preserve">La renuncia de los magistrados se presentará ante el Congreso del Estado, </w:t>
      </w:r>
      <w:proofErr w:type="gramStart"/>
      <w:r w:rsidRPr="002D04BA">
        <w:rPr>
          <w:rFonts w:ascii="Arial" w:hAnsi="Arial" w:cs="Arial"/>
          <w:sz w:val="22"/>
          <w:szCs w:val="22"/>
        </w:rPr>
        <w:t>quien</w:t>
      </w:r>
      <w:proofErr w:type="gramEnd"/>
      <w:r w:rsidRPr="002D04BA">
        <w:rPr>
          <w:rFonts w:ascii="Arial" w:hAnsi="Arial" w:cs="Arial"/>
          <w:sz w:val="22"/>
          <w:szCs w:val="22"/>
        </w:rPr>
        <w:t xml:space="preserve"> de encontrarla procedente, notificará al Gobernador del Estado, a efecto de que envíe la propuesta para la sustitución del mismo. En este caso, se observará el procedimiento señalado en el presente artículo, para los efectos de la nueva designación, la </w:t>
      </w:r>
      <w:proofErr w:type="gramStart"/>
      <w:r w:rsidRPr="002D04BA">
        <w:rPr>
          <w:rFonts w:ascii="Arial" w:hAnsi="Arial" w:cs="Arial"/>
          <w:sz w:val="22"/>
          <w:szCs w:val="22"/>
        </w:rPr>
        <w:t>que</w:t>
      </w:r>
      <w:proofErr w:type="gramEnd"/>
      <w:r w:rsidRPr="002D04BA">
        <w:rPr>
          <w:rFonts w:ascii="Arial" w:hAnsi="Arial" w:cs="Arial"/>
          <w:sz w:val="22"/>
          <w:szCs w:val="22"/>
        </w:rPr>
        <w:t xml:space="preserv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Será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Ser ciudadano mexicano por nacimiento en pleno ejercicio de sus derechos </w:t>
      </w:r>
      <w:proofErr w:type="gramStart"/>
      <w:r w:rsidRPr="002D04BA">
        <w:rPr>
          <w:rFonts w:ascii="Arial" w:hAnsi="Arial" w:cs="Arial"/>
          <w:sz w:val="22"/>
          <w:szCs w:val="22"/>
        </w:rPr>
        <w:t>políticos  y</w:t>
      </w:r>
      <w:proofErr w:type="gramEnd"/>
      <w:r w:rsidRPr="002D04BA">
        <w:rPr>
          <w:rFonts w:ascii="Arial" w:hAnsi="Arial" w:cs="Arial"/>
          <w:sz w:val="22"/>
          <w:szCs w:val="22"/>
        </w:rPr>
        <w:t xml:space="preserve">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titular de alguna de las secretarías de despacho del Ejecutivo, Fiscal General, Diputado, Diputado Federal, Senador, </w:t>
      </w:r>
      <w:proofErr w:type="gramStart"/>
      <w:r w:rsidRPr="002D04BA">
        <w:rPr>
          <w:rFonts w:ascii="Arial" w:hAnsi="Arial" w:cs="Arial"/>
          <w:sz w:val="22"/>
          <w:szCs w:val="22"/>
        </w:rPr>
        <w:t>Presidente</w:t>
      </w:r>
      <w:proofErr w:type="gramEnd"/>
      <w:r w:rsidRPr="002D04BA">
        <w:rPr>
          <w:rFonts w:ascii="Arial" w:hAnsi="Arial" w:cs="Arial"/>
          <w:sz w:val="22"/>
          <w:szCs w:val="22"/>
        </w:rPr>
        <w:t>,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lastRenderedPageBreak/>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lastRenderedPageBreak/>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lastRenderedPageBreak/>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w:t>
      </w:r>
      <w:r w:rsidRPr="002D04BA">
        <w:rPr>
          <w:rFonts w:ascii="Arial" w:hAnsi="Arial" w:cs="Arial"/>
          <w:sz w:val="22"/>
          <w:szCs w:val="22"/>
        </w:rPr>
        <w:lastRenderedPageBreak/>
        <w:t xml:space="preserve">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la designación de los consejeros propuestos por el Gobernador y el Congreso del Estado, se estará a los requisitos del artículo 122 de esta Constitución, con excepción del Título de </w:t>
      </w:r>
      <w:bookmarkStart w:id="1" w:name="_GoBack"/>
      <w:r w:rsidRPr="002D04BA">
        <w:rPr>
          <w:rFonts w:ascii="Arial" w:hAnsi="Arial" w:cs="Arial"/>
          <w:sz w:val="22"/>
          <w:szCs w:val="22"/>
        </w:rPr>
        <w:t>Licencia</w:t>
      </w:r>
      <w:bookmarkEnd w:id="1"/>
      <w:r w:rsidRPr="002D04BA">
        <w:rPr>
          <w:rFonts w:ascii="Arial" w:hAnsi="Arial" w:cs="Arial"/>
          <w:sz w:val="22"/>
          <w:szCs w:val="22"/>
        </w:rPr>
        <w:t>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 xml:space="preserve">Los consejeros, a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QUINTO</w:t>
      </w:r>
    </w:p>
    <w:p w:rsidR="0072763A" w:rsidRPr="00F9284F" w:rsidRDefault="00F6067E" w:rsidP="00DE2DDE">
      <w:pPr>
        <w:pStyle w:val="Ttulo2"/>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w:t>
      </w:r>
      <w:r w:rsidR="003E1C11" w:rsidRPr="003E1C11">
        <w:rPr>
          <w:rFonts w:ascii="Arial" w:hAnsi="Arial" w:cs="Arial"/>
          <w:sz w:val="22"/>
          <w:szCs w:val="22"/>
        </w:rPr>
        <w:lastRenderedPageBreak/>
        <w:t>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 xml:space="preserve">La Comisión Estatal de Derechos Humanos conocerá de las quejas que se formulen contra actos u omisiones de naturaleza administrativa provenientes de cualquier autoridad o servidor </w:t>
      </w:r>
      <w:r w:rsidR="0072763A" w:rsidRPr="002D04BA">
        <w:rPr>
          <w:rFonts w:ascii="Arial" w:hAnsi="Arial" w:cs="Arial"/>
          <w:sz w:val="22"/>
          <w:szCs w:val="22"/>
        </w:rPr>
        <w:lastRenderedPageBreak/>
        <w:t>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proofErr w:type="gramStart"/>
      <w:r w:rsidR="000F50E7" w:rsidRPr="002D04BA">
        <w:rPr>
          <w:rFonts w:ascii="Arial" w:hAnsi="Arial" w:cs="Arial"/>
          <w:sz w:val="22"/>
          <w:szCs w:val="22"/>
        </w:rPr>
        <w:t>el  órgano</w:t>
      </w:r>
      <w:proofErr w:type="gramEnd"/>
      <w:r w:rsidR="000F50E7" w:rsidRPr="002D04BA">
        <w:rPr>
          <w:rFonts w:ascii="Arial" w:hAnsi="Arial" w:cs="Arial"/>
          <w:sz w:val="22"/>
          <w:szCs w:val="22"/>
        </w:rPr>
        <w:t xml:space="preserve">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w:t>
      </w:r>
      <w:r w:rsidRPr="002D04BA">
        <w:rPr>
          <w:rFonts w:ascii="Arial" w:hAnsi="Arial" w:cs="Arial"/>
          <w:sz w:val="22"/>
          <w:szCs w:val="22"/>
        </w:rPr>
        <w:lastRenderedPageBreak/>
        <w:t>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lastRenderedPageBreak/>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0F50E7" w:rsidRPr="002D04BA" w:rsidRDefault="000F50E7" w:rsidP="0087385B">
      <w:pPr>
        <w:pStyle w:val="Default"/>
        <w:jc w:val="both"/>
        <w:rPr>
          <w:bCs/>
          <w:sz w:val="22"/>
          <w:szCs w:val="22"/>
        </w:rPr>
      </w:pPr>
    </w:p>
    <w:p w:rsidR="003E1C11" w:rsidRDefault="003E1C11" w:rsidP="00DE2DDE">
      <w:pPr>
        <w:pStyle w:val="Ttulo2"/>
      </w:pPr>
    </w:p>
    <w:p w:rsidR="0072763A" w:rsidRPr="003E1C11" w:rsidRDefault="00F6067E" w:rsidP="00DE2DDE">
      <w:pPr>
        <w:pStyle w:val="Ttulo2"/>
      </w:pPr>
      <w:r w:rsidRPr="003E1C11">
        <w:t>TÍTULO SEXTO</w:t>
      </w:r>
    </w:p>
    <w:p w:rsidR="0072763A" w:rsidRPr="003E1C11" w:rsidRDefault="00F6067E" w:rsidP="00DE2DDE">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En el caso de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lastRenderedPageBreak/>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SÉPTIMO</w:t>
      </w:r>
    </w:p>
    <w:p w:rsidR="0072763A" w:rsidRDefault="005B58A9" w:rsidP="00DE2DDE">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lastRenderedPageBreak/>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No se concederán ni cubrirán jubilaciones, pensiones o haberes de retiro, ni liquidaciones por servicios prestados, como tampoco préstamos o créditos, sin que éstas se encuentren asignadas por la ley, </w:t>
      </w:r>
      <w:r w:rsidRPr="002D04BA">
        <w:rPr>
          <w:rFonts w:ascii="Arial" w:hAnsi="Arial" w:cs="Arial"/>
          <w:sz w:val="22"/>
          <w:szCs w:val="22"/>
        </w:rPr>
        <w:lastRenderedPageBreak/>
        <w:t>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 xml:space="preserve">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w:t>
      </w:r>
      <w:r w:rsidRPr="005B58A9">
        <w:rPr>
          <w:rFonts w:ascii="Arial" w:hAnsi="Arial" w:cs="Arial"/>
          <w:sz w:val="22"/>
          <w:szCs w:val="22"/>
          <w:lang w:val="es-MX"/>
        </w:rPr>
        <w:lastRenderedPageBreak/>
        <w:t>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w:t>
      </w:r>
      <w:proofErr w:type="gramStart"/>
      <w:r w:rsidRPr="007D5E84">
        <w:rPr>
          <w:rFonts w:ascii="Arial" w:hAnsi="Arial" w:cs="Arial"/>
          <w:sz w:val="22"/>
          <w:szCs w:val="22"/>
          <w:lang w:val="es-MX" w:eastAsia="es-MX"/>
        </w:rPr>
        <w:t>lo  establezca</w:t>
      </w:r>
      <w:proofErr w:type="gramEnd"/>
      <w:r w:rsidRPr="007D5E84">
        <w:rPr>
          <w:rFonts w:ascii="Arial" w:hAnsi="Arial" w:cs="Arial"/>
          <w:sz w:val="22"/>
          <w:szCs w:val="22"/>
          <w:lang w:val="es-MX" w:eastAsia="es-MX"/>
        </w:rPr>
        <w:t xml:space="preserve">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lastRenderedPageBreak/>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lastRenderedPageBreak/>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lastRenderedPageBreak/>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 xml:space="preserve">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w:t>
      </w:r>
      <w:r w:rsidR="00DD1D39" w:rsidRPr="00DD1D39">
        <w:rPr>
          <w:rFonts w:ascii="Arial" w:hAnsi="Arial" w:cs="Arial"/>
          <w:sz w:val="22"/>
          <w:szCs w:val="22"/>
        </w:rPr>
        <w:lastRenderedPageBreak/>
        <w:t>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rsidR="0035082F" w:rsidRPr="002E2EDC" w:rsidRDefault="0035082F" w:rsidP="0035082F">
      <w:pPr>
        <w:jc w:val="both"/>
        <w:rPr>
          <w:rFonts w:ascii="Arial" w:hAnsi="Arial" w:cs="Arial"/>
          <w:sz w:val="22"/>
          <w:szCs w:val="22"/>
          <w:lang w:val="es-MX" w:eastAsia="es-MX"/>
        </w:rPr>
      </w:pPr>
    </w:p>
    <w:p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rsidR="003A005F" w:rsidRPr="0035082F" w:rsidRDefault="003A005F" w:rsidP="0035082F">
      <w:pPr>
        <w:jc w:val="right"/>
        <w:rPr>
          <w:rFonts w:ascii="Arial" w:hAnsi="Arial" w:cs="Arial"/>
          <w:color w:val="0070C0"/>
          <w:sz w:val="14"/>
          <w:szCs w:val="14"/>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Para la investigación, substanciación y sanción de las responsabilidades administrativas de los integrantes del Poder Judicial del Estado conocerá el Consejo de la Judicatura, sin perjuicio de las </w:t>
      </w:r>
      <w:r w:rsidRPr="002E2EDC">
        <w:rPr>
          <w:rFonts w:ascii="Arial" w:hAnsi="Arial" w:cs="Arial"/>
          <w:sz w:val="22"/>
          <w:szCs w:val="22"/>
          <w:shd w:val="clear" w:color="auto" w:fill="FFFFFF"/>
          <w:lang w:val="es-MX" w:eastAsia="es-MX"/>
        </w:rPr>
        <w:lastRenderedPageBreak/>
        <w:t>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lastRenderedPageBreak/>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rsidR="0072763A" w:rsidRPr="002D04BA" w:rsidRDefault="0072763A" w:rsidP="00A574B2">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040BB0" w:rsidRDefault="00040BB0" w:rsidP="00CC71FF">
      <w:pPr>
        <w:pStyle w:val="Ttulo3"/>
      </w:pPr>
    </w:p>
    <w:p w:rsidR="00040BB0" w:rsidRDefault="00040BB0" w:rsidP="00CC71FF">
      <w:pPr>
        <w:pStyle w:val="Ttulo3"/>
      </w:pPr>
    </w:p>
    <w:p w:rsidR="00040BB0" w:rsidRDefault="00040BB0" w:rsidP="00CC71FF">
      <w:pPr>
        <w:pStyle w:val="Ttulo3"/>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rsidR="00DE2DDE" w:rsidRDefault="00DE2DDE" w:rsidP="00DE2DDE">
      <w:pPr>
        <w:jc w:val="both"/>
        <w:rPr>
          <w:rFonts w:ascii="Arial" w:hAnsi="Arial" w:cs="Arial"/>
          <w:sz w:val="22"/>
          <w:szCs w:val="22"/>
        </w:rPr>
      </w:pPr>
    </w:p>
    <w:p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w:t>
      </w:r>
      <w:r w:rsidR="0072763A" w:rsidRPr="002D04BA">
        <w:rPr>
          <w:rFonts w:ascii="Arial" w:hAnsi="Arial" w:cs="Arial"/>
          <w:bCs/>
          <w:sz w:val="22"/>
          <w:szCs w:val="22"/>
        </w:rPr>
        <w:lastRenderedPageBreak/>
        <w:t>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rsidR="0072763A" w:rsidRPr="002D04BA" w:rsidRDefault="0072763A" w:rsidP="0087385B">
      <w:pPr>
        <w:pStyle w:val="Textoindependiente"/>
        <w:rPr>
          <w:rFonts w:cs="Arial"/>
          <w:szCs w:val="22"/>
        </w:rPr>
      </w:pPr>
    </w:p>
    <w:p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rsidR="00DE2DDE" w:rsidRDefault="00DE2DDE" w:rsidP="00DE2DDE">
      <w:pPr>
        <w:pStyle w:val="Textoindependiente"/>
        <w:rPr>
          <w:rFonts w:cs="Arial"/>
          <w:szCs w:val="22"/>
        </w:rPr>
      </w:pPr>
    </w:p>
    <w:p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rsidR="00DE2DDE" w:rsidRPr="00DE2DDE" w:rsidRDefault="00DE2DDE" w:rsidP="00DE2DDE">
      <w:pPr>
        <w:pStyle w:val="Textoindependiente"/>
        <w:rPr>
          <w:rFonts w:cs="Arial"/>
          <w:b/>
          <w:sz w:val="20"/>
        </w:rPr>
      </w:pPr>
      <w:r w:rsidRPr="00DE2DDE">
        <w:rPr>
          <w:rFonts w:cs="Arial"/>
          <w:b/>
          <w:sz w:val="20"/>
        </w:rPr>
        <w:t>---------------------------------------------------------------------------------------------------------------------------------------</w:t>
      </w:r>
    </w:p>
    <w:p w:rsidR="00DE2DDE" w:rsidRPr="00DE2DDE" w:rsidRDefault="00DE2DDE" w:rsidP="00DE2DDE">
      <w:pPr>
        <w:pStyle w:val="Textoindependiente"/>
        <w:rPr>
          <w:rFonts w:cs="Arial"/>
          <w:b/>
          <w:sz w:val="20"/>
        </w:rPr>
      </w:pPr>
    </w:p>
    <w:p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lastRenderedPageBreak/>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rsidR="00DE2DDE" w:rsidRDefault="00DE2DDE" w:rsidP="00DE2DDE">
      <w:pPr>
        <w:jc w:val="both"/>
      </w:pPr>
    </w:p>
    <w:p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w:t>
      </w:r>
      <w:r w:rsidRPr="00CC71FF">
        <w:rPr>
          <w:rFonts w:ascii="Arial" w:hAnsi="Arial" w:cs="Arial"/>
          <w:color w:val="000000" w:themeColor="text1"/>
          <w:szCs w:val="22"/>
        </w:rPr>
        <w:lastRenderedPageBreak/>
        <w:t>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lastRenderedPageBreak/>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rsidR="001228CC" w:rsidRPr="00CC71FF" w:rsidRDefault="001228CC" w:rsidP="0087385B">
      <w:pPr>
        <w:jc w:val="both"/>
        <w:rPr>
          <w:rFonts w:ascii="Arial" w:hAnsi="Arial" w:cs="Arial"/>
          <w:b/>
          <w:sz w:val="22"/>
          <w:szCs w:val="22"/>
        </w:rPr>
      </w:pPr>
    </w:p>
    <w:p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DE2DDE" w:rsidRDefault="00F734D2"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rsidR="00DE2DDE" w:rsidRDefault="00DE2DDE" w:rsidP="0087385B">
      <w:pPr>
        <w:jc w:val="center"/>
        <w:rPr>
          <w:rFonts w:ascii="Arial" w:hAnsi="Arial" w:cs="Arial"/>
          <w:b/>
        </w:rPr>
      </w:pPr>
    </w:p>
    <w:p w:rsidR="00E544B0" w:rsidRPr="00DE2DDE" w:rsidRDefault="00E544B0" w:rsidP="0087385B">
      <w:pPr>
        <w:jc w:val="center"/>
        <w:rPr>
          <w:rFonts w:ascii="Arial" w:hAnsi="Arial" w:cs="Arial"/>
          <w:b/>
        </w:rPr>
      </w:pPr>
      <w:r w:rsidRPr="00DE2DDE">
        <w:rPr>
          <w:rFonts w:ascii="Arial" w:hAnsi="Arial" w:cs="Arial"/>
          <w:b/>
        </w:rPr>
        <w:t>TRANSITORIOS</w:t>
      </w:r>
    </w:p>
    <w:p w:rsidR="00A97793" w:rsidRPr="00DE2DDE" w:rsidRDefault="00A97793" w:rsidP="0087385B">
      <w:pPr>
        <w:jc w:val="center"/>
        <w:rPr>
          <w:rFonts w:ascii="Arial" w:hAnsi="Arial" w:cs="Arial"/>
          <w:b/>
        </w:rPr>
      </w:pPr>
    </w:p>
    <w:p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rsidR="00E544B0" w:rsidRPr="00DE2DDE" w:rsidRDefault="00E544B0" w:rsidP="0087385B">
      <w:pPr>
        <w:pStyle w:val="Default"/>
        <w:jc w:val="both"/>
        <w:rPr>
          <w:sz w:val="20"/>
          <w:szCs w:val="20"/>
        </w:rPr>
      </w:pPr>
    </w:p>
    <w:p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rsidR="00E544B0" w:rsidRPr="00DE2DDE" w:rsidRDefault="00E544B0"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rsidR="00E544B0" w:rsidRPr="00DE2DDE" w:rsidRDefault="00E544B0" w:rsidP="0087385B">
      <w:pPr>
        <w:jc w:val="both"/>
        <w:rPr>
          <w:rFonts w:ascii="Arial" w:hAnsi="Arial" w:cs="Arial"/>
        </w:rPr>
      </w:pPr>
    </w:p>
    <w:p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rsidR="00C257F1" w:rsidRPr="00DE2DDE" w:rsidRDefault="00C257F1" w:rsidP="0087385B">
      <w:pPr>
        <w:jc w:val="both"/>
        <w:rPr>
          <w:rFonts w:ascii="Arial" w:hAnsi="Arial" w:cs="Arial"/>
        </w:rPr>
      </w:pPr>
    </w:p>
    <w:p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rsidR="00AC4B58" w:rsidRPr="00DE2DDE" w:rsidRDefault="00AC4B58" w:rsidP="0087385B">
      <w:pPr>
        <w:jc w:val="both"/>
        <w:rPr>
          <w:rFonts w:ascii="Arial" w:hAnsi="Arial" w:cs="Arial"/>
          <w:b/>
        </w:rPr>
      </w:pPr>
    </w:p>
    <w:p w:rsidR="00605FB4" w:rsidRDefault="001228CC" w:rsidP="00605FB4">
      <w:pPr>
        <w:jc w:val="center"/>
        <w:rPr>
          <w:rFonts w:ascii="Arial" w:hAnsi="Arial" w:cs="Arial"/>
          <w:b/>
        </w:rPr>
      </w:pPr>
      <w:r w:rsidRPr="0005409E">
        <w:rPr>
          <w:rFonts w:ascii="Arial" w:hAnsi="Arial" w:cs="Arial"/>
          <w:b/>
        </w:rPr>
        <w:t>FE DE ERRATAS</w:t>
      </w:r>
    </w:p>
    <w:p w:rsidR="00605FB4" w:rsidRDefault="00605FB4" w:rsidP="00605FB4">
      <w:pPr>
        <w:jc w:val="center"/>
        <w:rPr>
          <w:rFonts w:ascii="Arial" w:hAnsi="Arial" w:cs="Arial"/>
          <w:b/>
        </w:rPr>
      </w:pPr>
    </w:p>
    <w:p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rsidR="00AC4B58" w:rsidRPr="00605FB4"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 xml:space="preserve">publicado en el Periódico </w:t>
      </w:r>
      <w:r w:rsidRPr="00CC71FF">
        <w:rPr>
          <w:rFonts w:ascii="Arial" w:hAnsi="Arial" w:cs="Arial"/>
          <w:szCs w:val="22"/>
        </w:rPr>
        <w:lastRenderedPageBreak/>
        <w:t>Oficial del Gobierno del Estado de Durango, número 63 del jueves 06 de agosto de 2015, omisión por error informático que se encuentra en las páginas 6 y 7 de dicho periódico y que se anexa al presente.</w:t>
      </w:r>
    </w:p>
    <w:p w:rsidR="007D5856" w:rsidRPr="00605FB4" w:rsidRDefault="007D5856" w:rsidP="00A02B72">
      <w:pPr>
        <w:jc w:val="both"/>
        <w:rPr>
          <w:rFonts w:ascii="Arial" w:hAnsi="Arial" w:cs="Arial"/>
        </w:rPr>
      </w:pPr>
    </w:p>
    <w:p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rsidR="008A290B" w:rsidRDefault="008A290B" w:rsidP="00605FB4">
      <w:pPr>
        <w:jc w:val="both"/>
      </w:pPr>
    </w:p>
    <w:p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5409E" w:rsidRPr="00605FB4" w:rsidRDefault="0005409E" w:rsidP="00A02B72">
      <w:pPr>
        <w:jc w:val="both"/>
        <w:rPr>
          <w:rFonts w:ascii="Arial" w:hAnsi="Arial" w:cs="Arial"/>
        </w:rPr>
      </w:pPr>
    </w:p>
    <w:p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rsidR="00895B42" w:rsidRPr="00605FB4" w:rsidRDefault="00895B42" w:rsidP="00895B42">
      <w:pPr>
        <w:jc w:val="both"/>
        <w:rPr>
          <w:rFonts w:ascii="Arial" w:hAnsi="Arial" w:cs="Arial"/>
        </w:rPr>
      </w:pPr>
    </w:p>
    <w:p w:rsidR="00907146" w:rsidRPr="00605FB4" w:rsidRDefault="0005409E" w:rsidP="00895B42">
      <w:pPr>
        <w:jc w:val="center"/>
        <w:rPr>
          <w:rFonts w:ascii="Arial" w:hAnsi="Arial" w:cs="Arial"/>
          <w:b/>
        </w:rPr>
      </w:pPr>
      <w:r w:rsidRPr="00605FB4">
        <w:rPr>
          <w:rFonts w:ascii="Arial" w:hAnsi="Arial" w:cs="Arial"/>
          <w:b/>
        </w:rPr>
        <w:t>TRANSITORIOS</w:t>
      </w:r>
    </w:p>
    <w:p w:rsidR="00895B42" w:rsidRPr="00605FB4" w:rsidRDefault="00895B42" w:rsidP="00895B42">
      <w:pPr>
        <w:jc w:val="center"/>
        <w:rPr>
          <w:rFonts w:ascii="Arial" w:hAnsi="Arial" w:cs="Arial"/>
          <w:b/>
        </w:rPr>
      </w:pPr>
    </w:p>
    <w:p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rsidR="0005409E" w:rsidRPr="00605FB4" w:rsidRDefault="0005409E" w:rsidP="00895B42">
      <w:pPr>
        <w:jc w:val="both"/>
        <w:rPr>
          <w:rFonts w:ascii="Arial" w:hAnsi="Arial" w:cs="Arial"/>
          <w:lang w:eastAsia="es-MX"/>
        </w:rPr>
      </w:pPr>
    </w:p>
    <w:p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rsidR="0005409E" w:rsidRPr="00605FB4" w:rsidRDefault="0005409E" w:rsidP="00A02B72">
      <w:pPr>
        <w:jc w:val="both"/>
        <w:rPr>
          <w:rFonts w:ascii="Arial" w:hAnsi="Arial" w:cs="Arial"/>
        </w:rPr>
      </w:pPr>
    </w:p>
    <w:p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rsidR="008A290B" w:rsidRDefault="008A290B" w:rsidP="008A290B">
      <w:pPr>
        <w:jc w:val="both"/>
      </w:pPr>
    </w:p>
    <w:p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97398" w:rsidRPr="00605FB4" w:rsidRDefault="00097398" w:rsidP="00A02B72">
      <w:pPr>
        <w:jc w:val="both"/>
        <w:rPr>
          <w:rFonts w:ascii="Arial" w:hAnsi="Arial" w:cs="Arial"/>
          <w:b/>
        </w:rPr>
      </w:pPr>
    </w:p>
    <w:p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Pr="00605FB4" w:rsidRDefault="005D69E8" w:rsidP="00BA34A5">
      <w:pPr>
        <w:rPr>
          <w:rFonts w:ascii="Arial" w:hAnsi="Arial" w:cs="Arial"/>
          <w:b/>
          <w:color w:val="000000"/>
        </w:rPr>
      </w:pPr>
    </w:p>
    <w:p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rsidR="00097398" w:rsidRPr="00605FB4" w:rsidRDefault="00097398" w:rsidP="00097398">
      <w:pPr>
        <w:jc w:val="both"/>
        <w:rPr>
          <w:rFonts w:ascii="Arial" w:hAnsi="Arial" w:cs="Arial"/>
        </w:rPr>
      </w:pPr>
    </w:p>
    <w:p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rsidR="00097398" w:rsidRPr="00605FB4" w:rsidRDefault="00097398"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rsidR="00F821B9" w:rsidRPr="00605FB4" w:rsidRDefault="00F821B9" w:rsidP="00A02B72">
      <w:pPr>
        <w:jc w:val="both"/>
        <w:rPr>
          <w:rFonts w:ascii="Arial" w:hAnsi="Arial" w:cs="Arial"/>
        </w:rPr>
      </w:pPr>
    </w:p>
    <w:p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La situación laboral de los Servidores adscritos al Tribunal de Justicia Administrativa no sufrirá variación en los derechos vigentes.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rsidR="00F821B9" w:rsidRPr="00605FB4" w:rsidRDefault="00F821B9" w:rsidP="007B381D">
      <w:pPr>
        <w:jc w:val="both"/>
        <w:rPr>
          <w:rFonts w:ascii="Arial" w:hAnsi="Arial" w:cs="Arial"/>
          <w:shd w:val="clear" w:color="auto" w:fill="FFFFFF"/>
          <w:lang w:val="es-ES" w:eastAsia="es-MX"/>
        </w:rPr>
      </w:pPr>
    </w:p>
    <w:p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rsidR="00B177B9" w:rsidRPr="00605FB4" w:rsidRDefault="00B177B9" w:rsidP="007B381D">
      <w:pPr>
        <w:jc w:val="both"/>
        <w:rPr>
          <w:rFonts w:ascii="Arial" w:hAnsi="Arial" w:cs="Arial"/>
          <w:shd w:val="clear" w:color="auto" w:fill="FFFFFF"/>
          <w:lang w:val="es-ES" w:eastAsia="es-MX"/>
        </w:rPr>
      </w:pPr>
    </w:p>
    <w:p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rsidR="00B177B9" w:rsidRPr="00605FB4" w:rsidRDefault="00B177B9" w:rsidP="007B381D">
      <w:pPr>
        <w:jc w:val="both"/>
        <w:rPr>
          <w:rFonts w:ascii="Arial" w:hAnsi="Arial" w:cs="Arial"/>
        </w:rPr>
      </w:pPr>
    </w:p>
    <w:p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rsidR="00B177B9" w:rsidRPr="00605FB4" w:rsidRDefault="00B177B9" w:rsidP="00B177B9">
      <w:pPr>
        <w:autoSpaceDE w:val="0"/>
        <w:autoSpaceDN w:val="0"/>
        <w:adjustRightInd w:val="0"/>
        <w:jc w:val="both"/>
        <w:rPr>
          <w:rFonts w:ascii="Arial" w:eastAsia="Calibri" w:hAnsi="Arial" w:cs="Arial"/>
          <w:b/>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lastRenderedPageBreak/>
        <w:t>SEGUNDO.-</w:t>
      </w:r>
      <w:proofErr w:type="gramEnd"/>
      <w:r w:rsidRPr="00605FB4">
        <w:rPr>
          <w:rFonts w:ascii="Arial" w:eastAsia="Calibri" w:hAnsi="Arial" w:cs="Arial"/>
          <w:lang w:val="es-MX" w:eastAsia="es-MX"/>
        </w:rPr>
        <w:t xml:space="preserve"> Se derogan todas aquellas disposiciones que se opongan al contenido del presente Decreto.</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rsidR="00B177B9" w:rsidRPr="00605FB4" w:rsidRDefault="00B177B9" w:rsidP="00B177B9">
      <w:pPr>
        <w:autoSpaceDE w:val="0"/>
        <w:autoSpaceDN w:val="0"/>
        <w:adjustRightInd w:val="0"/>
        <w:jc w:val="both"/>
        <w:rPr>
          <w:rFonts w:ascii="Arial" w:eastAsia="Calibri" w:hAnsi="Arial" w:cs="Arial"/>
          <w:color w:val="000000"/>
          <w:lang w:val="es-MX" w:eastAsia="es-MX"/>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rsidR="00B177B9" w:rsidRPr="00605FB4" w:rsidRDefault="00B177B9" w:rsidP="00B177B9">
      <w:pPr>
        <w:jc w:val="both"/>
        <w:rPr>
          <w:rFonts w:ascii="Arial" w:eastAsia="Arial Unicode MS" w:hAnsi="Arial" w:cs="Arial"/>
          <w:lang w:val="es-ES"/>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rsidR="00B177B9" w:rsidRPr="00605FB4" w:rsidRDefault="00B177B9" w:rsidP="00B177B9">
      <w:pPr>
        <w:jc w:val="both"/>
        <w:rPr>
          <w:rFonts w:ascii="Arial" w:hAnsi="Arial" w:cs="Arial"/>
          <w:b/>
        </w:rPr>
      </w:pPr>
    </w:p>
    <w:p w:rsidR="0020287C" w:rsidRPr="00605FB4" w:rsidRDefault="0020287C" w:rsidP="00B177B9">
      <w:pPr>
        <w:jc w:val="both"/>
        <w:rPr>
          <w:rFonts w:ascii="Arial" w:hAnsi="Arial" w:cs="Arial"/>
          <w:b/>
        </w:rPr>
      </w:pPr>
      <w:r w:rsidRPr="00605FB4">
        <w:rPr>
          <w:rFonts w:ascii="Arial" w:hAnsi="Arial" w:cs="Arial"/>
          <w:b/>
        </w:rPr>
        <w:t>---------------------------------------------------------------------------------------------------------------------------------------------------</w:t>
      </w:r>
    </w:p>
    <w:p w:rsidR="0020287C" w:rsidRPr="00605FB4" w:rsidRDefault="0020287C" w:rsidP="00B177B9">
      <w:pPr>
        <w:jc w:val="both"/>
        <w:rPr>
          <w:rFonts w:ascii="Arial" w:hAnsi="Arial" w:cs="Arial"/>
          <w:b/>
        </w:rPr>
      </w:pPr>
    </w:p>
    <w:p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rsidR="00C92A98" w:rsidRPr="00605FB4" w:rsidRDefault="00C92A98" w:rsidP="00C92A98">
      <w:pPr>
        <w:jc w:val="both"/>
        <w:rPr>
          <w:rFonts w:ascii="Arial" w:hAnsi="Arial" w:cs="Arial"/>
          <w:b/>
        </w:rPr>
      </w:pPr>
    </w:p>
    <w:p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rsidR="00C92A98" w:rsidRPr="00605FB4" w:rsidRDefault="00C92A98" w:rsidP="00C92A98">
      <w:pPr>
        <w:jc w:val="both"/>
        <w:rPr>
          <w:rFonts w:ascii="Arial" w:hAnsi="Arial" w:cs="Arial"/>
          <w:lang w:val="es-ES"/>
        </w:rPr>
      </w:pPr>
    </w:p>
    <w:p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605FB4" w:rsidRDefault="00C92A98" w:rsidP="00C92A98">
      <w:pPr>
        <w:autoSpaceDE w:val="0"/>
        <w:autoSpaceDN w:val="0"/>
        <w:adjustRightInd w:val="0"/>
        <w:jc w:val="both"/>
        <w:rPr>
          <w:rFonts w:ascii="Arial" w:eastAsia="Calibri" w:hAnsi="Arial" w:cs="Arial"/>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rsidR="00C92A98" w:rsidRPr="00605FB4" w:rsidRDefault="00C92A98" w:rsidP="00C92A98">
      <w:pPr>
        <w:jc w:val="both"/>
        <w:rPr>
          <w:rFonts w:ascii="Arial" w:hAnsi="Arial" w:cs="Arial"/>
          <w:lang w:val="es-ES"/>
        </w:rPr>
      </w:pPr>
    </w:p>
    <w:p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C92A98" w:rsidRPr="00605FB4" w:rsidRDefault="00C92A98" w:rsidP="00C92A98">
      <w:pPr>
        <w:autoSpaceDE w:val="0"/>
        <w:autoSpaceDN w:val="0"/>
        <w:adjustRightInd w:val="0"/>
        <w:jc w:val="both"/>
        <w:rPr>
          <w:rFonts w:ascii="Arial" w:eastAsia="Calibri" w:hAnsi="Arial" w:cs="Arial"/>
          <w:color w:val="000000"/>
          <w:lang w:val="es-MX" w:eastAsia="es-MX"/>
        </w:rPr>
      </w:pPr>
    </w:p>
    <w:p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C92A98" w:rsidRPr="00605FB4" w:rsidRDefault="00C92A98" w:rsidP="00C92A98">
      <w:pPr>
        <w:jc w:val="both"/>
        <w:rPr>
          <w:rFonts w:ascii="Arial" w:eastAsia="Arial Unicode MS" w:hAnsi="Arial" w:cs="Arial"/>
          <w:lang w:val="es-ES"/>
        </w:rPr>
      </w:pPr>
    </w:p>
    <w:p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rsidR="00C92A98" w:rsidRPr="00605FB4" w:rsidRDefault="00C92A98"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w:t>
      </w:r>
    </w:p>
    <w:p w:rsidR="00CA3D13" w:rsidRPr="00605FB4" w:rsidRDefault="00CA3D13"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rsidR="001A48D8" w:rsidRPr="00605FB4" w:rsidRDefault="001A48D8" w:rsidP="00C92A98">
      <w:pPr>
        <w:jc w:val="both"/>
        <w:rPr>
          <w:rFonts w:ascii="Arial" w:hAnsi="Arial" w:cs="Arial"/>
          <w:b/>
          <w:lang w:val="es-ES"/>
        </w:rPr>
      </w:pPr>
    </w:p>
    <w:p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rsidR="001A48D8" w:rsidRPr="00605FB4" w:rsidRDefault="001A48D8" w:rsidP="001A48D8">
      <w:pPr>
        <w:jc w:val="both"/>
        <w:rPr>
          <w:rFonts w:ascii="Arial" w:hAnsi="Arial" w:cs="Arial"/>
          <w:b/>
          <w:lang w:val="es-ES"/>
        </w:rPr>
      </w:pPr>
    </w:p>
    <w:p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rsidR="001A48D8" w:rsidRPr="00605FB4" w:rsidRDefault="001A48D8" w:rsidP="001A48D8">
      <w:pPr>
        <w:autoSpaceDE w:val="0"/>
        <w:autoSpaceDN w:val="0"/>
        <w:adjustRightInd w:val="0"/>
        <w:jc w:val="both"/>
        <w:rPr>
          <w:rFonts w:ascii="Arial" w:hAnsi="Arial" w:cs="Arial"/>
          <w:b/>
          <w:lang w:val="es-ES" w:eastAsia="es-MX"/>
        </w:rPr>
      </w:pPr>
    </w:p>
    <w:p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lastRenderedPageBreak/>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1A48D8" w:rsidRPr="00605FB4" w:rsidRDefault="001A48D8" w:rsidP="001A48D8">
      <w:pPr>
        <w:jc w:val="both"/>
        <w:rPr>
          <w:rFonts w:ascii="Arial" w:eastAsia="Arial Unicode MS" w:hAnsi="Arial" w:cs="Arial"/>
          <w:lang w:val="es-ES"/>
        </w:rPr>
      </w:pPr>
    </w:p>
    <w:p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rsidR="001A48D8" w:rsidRPr="00605FB4" w:rsidRDefault="001A48D8"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605FB4" w:rsidRDefault="004030F6" w:rsidP="001A48D8">
      <w:pPr>
        <w:jc w:val="both"/>
        <w:rPr>
          <w:rFonts w:ascii="Arial" w:hAnsi="Arial" w:cs="Arial"/>
          <w:lang w:val="es-ES"/>
        </w:rPr>
      </w:pPr>
    </w:p>
    <w:p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64601E" w:rsidRPr="00605FB4" w:rsidRDefault="0064601E" w:rsidP="0064601E">
      <w:pPr>
        <w:autoSpaceDE w:val="0"/>
        <w:autoSpaceDN w:val="0"/>
        <w:adjustRightInd w:val="0"/>
        <w:jc w:val="both"/>
        <w:rPr>
          <w:rFonts w:ascii="Arial" w:eastAsia="Calibri" w:hAnsi="Arial" w:cs="Arial"/>
          <w:lang w:val="es-ES" w:eastAsia="es-MX"/>
        </w:rPr>
      </w:pPr>
    </w:p>
    <w:p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64601E" w:rsidRPr="00605FB4" w:rsidRDefault="0064601E" w:rsidP="0064601E">
      <w:pPr>
        <w:jc w:val="both"/>
        <w:rPr>
          <w:rFonts w:ascii="Arial" w:eastAsia="Arial Unicode MS" w:hAnsi="Arial" w:cs="Arial"/>
          <w:lang w:val="es-ES"/>
        </w:rPr>
      </w:pPr>
    </w:p>
    <w:p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lastRenderedPageBreak/>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rsidR="003A005F" w:rsidRPr="00605FB4" w:rsidRDefault="003A005F" w:rsidP="001A48D8">
      <w:pPr>
        <w:jc w:val="both"/>
        <w:rPr>
          <w:rFonts w:ascii="Arial" w:hAnsi="Arial" w:cs="Arial"/>
          <w:lang w:val="es-ES"/>
        </w:rPr>
      </w:pPr>
    </w:p>
    <w:p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rsidR="003A005F" w:rsidRPr="00605FB4" w:rsidRDefault="003A005F" w:rsidP="003A005F">
      <w:pPr>
        <w:contextualSpacing/>
        <w:jc w:val="both"/>
        <w:rPr>
          <w:rFonts w:ascii="Arial" w:hAnsi="Arial" w:cs="Arial"/>
          <w:bCs/>
          <w:lang w:val="es-ES"/>
        </w:rPr>
      </w:pPr>
    </w:p>
    <w:p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rsidR="003A005F" w:rsidRPr="00605FB4" w:rsidRDefault="003A005F" w:rsidP="003A005F">
      <w:pPr>
        <w:jc w:val="both"/>
        <w:rPr>
          <w:rFonts w:ascii="Arial" w:hAnsi="Arial" w:cs="Arial"/>
          <w:b/>
          <w:lang w:val="es-ES"/>
        </w:rPr>
      </w:pPr>
    </w:p>
    <w:p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rsidR="003A005F" w:rsidRPr="00605FB4" w:rsidRDefault="003A005F" w:rsidP="003A005F">
      <w:pPr>
        <w:jc w:val="both"/>
        <w:rPr>
          <w:rFonts w:ascii="Cambria" w:eastAsia="Calibri" w:hAnsi="Cambria" w:cs="Cambria"/>
          <w:lang w:val="es-MX" w:eastAsia="en-US"/>
        </w:rPr>
      </w:pPr>
    </w:p>
    <w:p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3A005F" w:rsidRPr="00605FB4" w:rsidRDefault="003A005F" w:rsidP="003A005F">
      <w:pPr>
        <w:jc w:val="both"/>
        <w:rPr>
          <w:rFonts w:ascii="Arial" w:hAnsi="Arial" w:cs="Arial"/>
          <w:b/>
          <w:lang w:val="es-ES"/>
        </w:rPr>
      </w:pPr>
    </w:p>
    <w:p w:rsidR="00B10A31" w:rsidRPr="00605FB4" w:rsidRDefault="00B10A31" w:rsidP="003A005F">
      <w:pPr>
        <w:jc w:val="both"/>
        <w:rPr>
          <w:rFonts w:ascii="Arial" w:hAnsi="Arial" w:cs="Arial"/>
          <w:b/>
          <w:lang w:val="es-ES"/>
        </w:rPr>
      </w:pPr>
      <w:r w:rsidRPr="00605FB4">
        <w:rPr>
          <w:rFonts w:ascii="Arial" w:hAnsi="Arial" w:cs="Arial"/>
          <w:b/>
          <w:lang w:val="es-ES"/>
        </w:rPr>
        <w:t>----------------------------------------------------------------------------------------------------------------------------------------------------</w:t>
      </w:r>
    </w:p>
    <w:p w:rsidR="00B10A31" w:rsidRPr="00605FB4" w:rsidRDefault="00B10A31" w:rsidP="003A005F">
      <w:pPr>
        <w:jc w:val="both"/>
        <w:rPr>
          <w:rFonts w:ascii="Arial" w:hAnsi="Arial" w:cs="Arial"/>
          <w:b/>
          <w:lang w:val="es-ES"/>
        </w:rPr>
      </w:pPr>
    </w:p>
    <w:p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rsidR="00B10A31" w:rsidRPr="00605FB4" w:rsidRDefault="00B10A31" w:rsidP="00B10A31">
      <w:pPr>
        <w:jc w:val="both"/>
        <w:rPr>
          <w:rFonts w:ascii="Arial" w:hAnsi="Arial" w:cs="Arial"/>
          <w:b/>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rsidR="00B10A31" w:rsidRPr="00605FB4" w:rsidRDefault="00B10A31" w:rsidP="00B10A31">
      <w:pPr>
        <w:jc w:val="both"/>
        <w:rPr>
          <w:rFonts w:ascii="Arial" w:hAnsi="Arial" w:cs="Arial"/>
          <w:lang w:val="es-ES"/>
        </w:rPr>
      </w:pPr>
    </w:p>
    <w:p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rsidR="00B10A31" w:rsidRPr="00605FB4" w:rsidRDefault="00B10A31" w:rsidP="00B10A31">
      <w:pPr>
        <w:contextualSpacing/>
        <w:jc w:val="both"/>
        <w:rPr>
          <w:rFonts w:ascii="Arial" w:hAnsi="Arial" w:cs="Arial"/>
          <w:bCs/>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B10A31" w:rsidRPr="00605FB4" w:rsidRDefault="00B10A31" w:rsidP="00B10A31">
      <w:pPr>
        <w:jc w:val="both"/>
        <w:rPr>
          <w:rFonts w:ascii="Arial" w:hAnsi="Arial" w:cs="Arial"/>
          <w:lang w:val="es-ES"/>
        </w:rPr>
      </w:pPr>
    </w:p>
    <w:p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B10A31" w:rsidRPr="00605FB4" w:rsidRDefault="00B10A31" w:rsidP="00B10A31">
      <w:pPr>
        <w:jc w:val="both"/>
        <w:rPr>
          <w:rFonts w:ascii="Arial" w:eastAsia="Arial Unicode MS" w:hAnsi="Arial" w:cs="Arial"/>
          <w:lang w:val="es-ES"/>
        </w:rPr>
      </w:pPr>
    </w:p>
    <w:p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rsidR="00B10A31" w:rsidRPr="00605FB4" w:rsidRDefault="00B10A31" w:rsidP="00B10A31">
      <w:pPr>
        <w:jc w:val="both"/>
        <w:rPr>
          <w:rFonts w:ascii="Arial" w:eastAsia="Arial Unicode MS" w:hAnsi="Arial" w:cs="Arial"/>
          <w:lang w:val="es-ES"/>
        </w:rPr>
      </w:pPr>
    </w:p>
    <w:p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4B68F9" w:rsidRDefault="004B68F9" w:rsidP="00B10A31">
      <w:pPr>
        <w:jc w:val="both"/>
        <w:rPr>
          <w:rFonts w:ascii="Arial" w:eastAsia="Arial Unicode MS" w:hAnsi="Arial" w:cs="Arial"/>
          <w:caps/>
          <w:lang w:val="es-ES"/>
        </w:rPr>
      </w:pPr>
    </w:p>
    <w:p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rsidR="004B68F9" w:rsidRDefault="004B68F9" w:rsidP="00B10A31">
      <w:pPr>
        <w:jc w:val="both"/>
        <w:rPr>
          <w:rFonts w:ascii="Arial" w:hAnsi="Arial" w:cs="Arial"/>
          <w:b/>
          <w:lang w:val="es-ES"/>
        </w:rPr>
      </w:pPr>
    </w:p>
    <w:p w:rsidR="004B68F9" w:rsidRDefault="004B68F9" w:rsidP="00B10A31">
      <w:pPr>
        <w:jc w:val="both"/>
        <w:rPr>
          <w:rFonts w:ascii="Arial" w:hAnsi="Arial" w:cs="Arial"/>
          <w:b/>
          <w:lang w:val="es-ES"/>
        </w:rPr>
      </w:pPr>
      <w:r>
        <w:rPr>
          <w:rFonts w:ascii="Arial" w:hAnsi="Arial" w:cs="Arial"/>
          <w:b/>
          <w:lang w:val="es-ES"/>
        </w:rPr>
        <w:lastRenderedPageBreak/>
        <w:t>DECRETO 97, LXVIII LEGISLATURA, PERIODICO OFICIAL No. 77 DE FECHA 26 DE SEPTIEMBRE DE 2019.</w:t>
      </w:r>
    </w:p>
    <w:p w:rsidR="004B68F9" w:rsidRDefault="004B68F9" w:rsidP="00B10A31">
      <w:pPr>
        <w:jc w:val="both"/>
        <w:rPr>
          <w:rFonts w:ascii="Arial" w:hAnsi="Arial" w:cs="Arial"/>
          <w:b/>
          <w:lang w:val="es-ES"/>
        </w:rPr>
      </w:pPr>
    </w:p>
    <w:p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rsidR="004B68F9" w:rsidRDefault="004B68F9" w:rsidP="00B10A31">
      <w:pPr>
        <w:jc w:val="both"/>
        <w:rPr>
          <w:rFonts w:ascii="Arial" w:hAnsi="Arial" w:cs="Arial"/>
          <w:lang w:val="es-ES"/>
        </w:rPr>
      </w:pPr>
    </w:p>
    <w:p w:rsidR="004B68F9" w:rsidRDefault="004B68F9" w:rsidP="004B68F9">
      <w:pPr>
        <w:spacing w:line="360" w:lineRule="auto"/>
        <w:contextualSpacing/>
        <w:jc w:val="center"/>
        <w:rPr>
          <w:rFonts w:ascii="Arial" w:hAnsi="Arial" w:cs="Arial"/>
          <w:b/>
          <w:lang w:val="es-ES"/>
        </w:rPr>
      </w:pPr>
    </w:p>
    <w:p w:rsidR="004B68F9" w:rsidRDefault="004B68F9" w:rsidP="004B68F9">
      <w:pPr>
        <w:spacing w:line="360" w:lineRule="auto"/>
        <w:contextualSpacing/>
        <w:jc w:val="center"/>
        <w:rPr>
          <w:rFonts w:ascii="Arial" w:hAnsi="Arial" w:cs="Arial"/>
          <w:b/>
          <w:lang w:val="es-ES"/>
        </w:rPr>
      </w:pPr>
    </w:p>
    <w:p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rsidR="004B68F9" w:rsidRPr="004B68F9" w:rsidRDefault="004B68F9" w:rsidP="004B68F9">
      <w:pPr>
        <w:autoSpaceDE w:val="0"/>
        <w:autoSpaceDN w:val="0"/>
        <w:adjustRightInd w:val="0"/>
        <w:jc w:val="both"/>
        <w:rPr>
          <w:rFonts w:ascii="Arial" w:eastAsia="Calibri" w:hAnsi="Arial" w:cs="Arial"/>
          <w:b/>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rsidR="004B68F9" w:rsidRPr="004B68F9" w:rsidRDefault="004B68F9" w:rsidP="004B68F9">
      <w:pPr>
        <w:autoSpaceDE w:val="0"/>
        <w:autoSpaceDN w:val="0"/>
        <w:adjustRightInd w:val="0"/>
        <w:jc w:val="both"/>
        <w:rPr>
          <w:rFonts w:ascii="Arial" w:hAnsi="Arial" w:cs="Arial"/>
          <w:b/>
          <w:lang w:val="es-MX" w:eastAsia="x-none"/>
        </w:rPr>
      </w:pPr>
    </w:p>
    <w:p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rsidR="004B68F9" w:rsidRPr="004B68F9" w:rsidRDefault="004B68F9" w:rsidP="004B68F9">
      <w:pPr>
        <w:spacing w:after="120"/>
        <w:jc w:val="both"/>
        <w:rPr>
          <w:rFonts w:ascii="Arial" w:eastAsia="Calibri" w:hAnsi="Arial" w:cs="Arial"/>
          <w:lang w:val="x-none"/>
        </w:rPr>
      </w:pPr>
    </w:p>
    <w:p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rsidR="003259A8" w:rsidRDefault="003259A8" w:rsidP="004B68F9">
      <w:pPr>
        <w:autoSpaceDE w:val="0"/>
        <w:autoSpaceDN w:val="0"/>
        <w:adjustRightInd w:val="0"/>
        <w:jc w:val="both"/>
        <w:rPr>
          <w:rFonts w:ascii="Arial" w:hAnsi="Arial" w:cs="Arial"/>
          <w:lang w:val="es-ES"/>
        </w:rPr>
      </w:pPr>
    </w:p>
    <w:p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rsidR="003259A8" w:rsidRDefault="003259A8" w:rsidP="004B68F9">
      <w:pPr>
        <w:autoSpaceDE w:val="0"/>
        <w:autoSpaceDN w:val="0"/>
        <w:adjustRightInd w:val="0"/>
        <w:jc w:val="both"/>
        <w:rPr>
          <w:rFonts w:ascii="Arial" w:hAnsi="Arial" w:cs="Arial"/>
          <w:lang w:val="es-ES"/>
        </w:rPr>
      </w:pPr>
    </w:p>
    <w:p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rsidR="003259A8" w:rsidRPr="003259A8" w:rsidRDefault="003259A8" w:rsidP="003259A8">
      <w:pPr>
        <w:contextualSpacing/>
        <w:jc w:val="both"/>
        <w:rPr>
          <w:rFonts w:ascii="Arial" w:hAnsi="Arial" w:cs="Arial"/>
          <w:bCs/>
          <w:lang w:val="es-ES"/>
        </w:rPr>
      </w:pPr>
    </w:p>
    <w:p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b/>
          <w:lang w:val="es-ES"/>
        </w:rPr>
      </w:pPr>
      <w:r w:rsidRPr="003259A8">
        <w:rPr>
          <w:rFonts w:ascii="Arial" w:hAnsi="Arial" w:cs="Arial"/>
          <w:b/>
          <w:lang w:val="es-ES"/>
        </w:rPr>
        <w:lastRenderedPageBreak/>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rsidR="003259A8" w:rsidRPr="003259A8" w:rsidRDefault="003259A8" w:rsidP="003259A8">
      <w:pPr>
        <w:jc w:val="both"/>
        <w:rPr>
          <w:rFonts w:ascii="Arial" w:eastAsia="Arial Unicode MS" w:hAnsi="Arial" w:cs="Arial"/>
          <w:lang w:val="es-ES"/>
        </w:rPr>
      </w:pPr>
    </w:p>
    <w:p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rsidR="003259A8" w:rsidRPr="003259A8" w:rsidRDefault="003259A8" w:rsidP="003259A8">
      <w:pPr>
        <w:jc w:val="both"/>
        <w:rPr>
          <w:rFonts w:ascii="Arial" w:hAnsi="Arial" w:cs="Arial"/>
          <w:lang w:val="es-ES"/>
        </w:rPr>
      </w:pPr>
    </w:p>
    <w:p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rsidR="00456F0C" w:rsidRDefault="00456F0C" w:rsidP="003259A8">
      <w:pPr>
        <w:jc w:val="both"/>
        <w:rPr>
          <w:rFonts w:ascii="Arial" w:hAnsi="Arial" w:cs="Arial"/>
          <w:lang w:val="es-ES"/>
        </w:rPr>
      </w:pPr>
    </w:p>
    <w:p w:rsidR="00456F0C" w:rsidRDefault="00456F0C" w:rsidP="003259A8">
      <w:pPr>
        <w:jc w:val="both"/>
        <w:rPr>
          <w:rFonts w:ascii="Arial" w:hAnsi="Arial" w:cs="Arial"/>
          <w:b/>
          <w:bCs/>
          <w:lang w:val="es-ES"/>
        </w:rPr>
      </w:pPr>
      <w:r>
        <w:rPr>
          <w:rFonts w:ascii="Arial" w:hAnsi="Arial" w:cs="Arial"/>
          <w:b/>
          <w:bCs/>
          <w:lang w:val="es-ES"/>
        </w:rPr>
        <w:t>--------------------------------------------------------------------------------------------------------------------------------------------------</w:t>
      </w:r>
    </w:p>
    <w:p w:rsidR="00456F0C" w:rsidRDefault="00456F0C" w:rsidP="003259A8">
      <w:pPr>
        <w:jc w:val="both"/>
        <w:rPr>
          <w:rFonts w:ascii="Arial" w:hAnsi="Arial" w:cs="Arial"/>
          <w:b/>
          <w:bCs/>
          <w:lang w:val="es-ES"/>
        </w:rPr>
      </w:pPr>
    </w:p>
    <w:p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rsidR="00456F0C" w:rsidRDefault="00456F0C" w:rsidP="003259A8">
      <w:pPr>
        <w:jc w:val="both"/>
        <w:rPr>
          <w:rFonts w:ascii="Arial" w:hAnsi="Arial" w:cs="Arial"/>
          <w:b/>
          <w:bCs/>
          <w:lang w:val="es-ES"/>
        </w:rPr>
      </w:pPr>
    </w:p>
    <w:p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rsidR="00456F0C" w:rsidRDefault="00456F0C" w:rsidP="003259A8">
      <w:pPr>
        <w:jc w:val="both"/>
        <w:rPr>
          <w:rFonts w:ascii="Arial" w:hAnsi="Arial" w:cs="Arial"/>
          <w:lang w:val="es-ES"/>
        </w:rPr>
      </w:pPr>
    </w:p>
    <w:p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rsidR="00456F0C" w:rsidRPr="00456F0C" w:rsidRDefault="00456F0C" w:rsidP="00456F0C">
      <w:pPr>
        <w:contextualSpacing/>
        <w:jc w:val="both"/>
        <w:rPr>
          <w:rFonts w:ascii="Arial" w:hAnsi="Arial" w:cs="Arial"/>
          <w:bCs/>
          <w:lang w:val="es-ES"/>
        </w:rPr>
      </w:pPr>
    </w:p>
    <w:p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rsidR="00456F0C" w:rsidRPr="00456F0C" w:rsidRDefault="00456F0C" w:rsidP="00456F0C">
      <w:pPr>
        <w:jc w:val="both"/>
        <w:rPr>
          <w:rFonts w:ascii="Arial" w:hAnsi="Arial" w:cs="Arial"/>
          <w:b/>
          <w:lang w:val="es-ES"/>
        </w:rPr>
      </w:pPr>
    </w:p>
    <w:p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rsidR="00456F0C" w:rsidRPr="00456F0C" w:rsidRDefault="00456F0C" w:rsidP="00456F0C">
      <w:pPr>
        <w:jc w:val="both"/>
        <w:rPr>
          <w:rFonts w:ascii="Cambria" w:eastAsia="Calibri" w:hAnsi="Cambria" w:cs="Cambria"/>
          <w:lang w:val="es-MX" w:eastAsia="en-US"/>
        </w:rPr>
      </w:pPr>
    </w:p>
    <w:p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sectPr w:rsidR="00456F0C" w:rsidRPr="00456F0C"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A29" w:rsidRDefault="00A47A29" w:rsidP="00FA3700">
      <w:r>
        <w:separator/>
      </w:r>
    </w:p>
  </w:endnote>
  <w:endnote w:type="continuationSeparator" w:id="0">
    <w:p w:rsidR="00A47A29" w:rsidRDefault="00A47A2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532"/>
      <w:docPartObj>
        <w:docPartGallery w:val="Page Numbers (Bottom of Page)"/>
        <w:docPartUnique/>
      </w:docPartObj>
    </w:sdtPr>
    <w:sdtEndPr/>
    <w:sdtContent>
      <w:p w:rsidR="00456F0C" w:rsidRDefault="00456F0C">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rsidR="00456F0C" w:rsidRDefault="00456F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A29" w:rsidRDefault="00A47A29" w:rsidP="00FA3700">
      <w:r>
        <w:separator/>
      </w:r>
    </w:p>
  </w:footnote>
  <w:footnote w:type="continuationSeparator" w:id="0">
    <w:p w:rsidR="00A47A29" w:rsidRDefault="00A47A2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3828"/>
      <w:gridCol w:w="6144"/>
    </w:tblGrid>
    <w:tr w:rsidR="00456F0C" w:rsidTr="00907146">
      <w:tc>
        <w:tcPr>
          <w:tcW w:w="3828" w:type="dxa"/>
          <w:tcBorders>
            <w:top w:val="nil"/>
            <w:left w:val="nil"/>
            <w:bottom w:val="nil"/>
            <w:right w:val="nil"/>
          </w:tcBorders>
        </w:tcPr>
        <w:p w:rsidR="00456F0C" w:rsidRDefault="00456F0C"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66E9D97D" wp14:editId="344989B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rsidR="00456F0C" w:rsidRDefault="00456F0C" w:rsidP="00B37313">
          <w:pPr>
            <w:pStyle w:val="Encabezado"/>
          </w:pPr>
        </w:p>
        <w:p w:rsidR="00456F0C" w:rsidRPr="00047254" w:rsidRDefault="00456F0C"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456F0C" w:rsidRPr="00047254" w:rsidRDefault="00456F0C" w:rsidP="00B37313">
          <w:pPr>
            <w:pStyle w:val="Encabezado"/>
            <w:rPr>
              <w:rFonts w:ascii="Arial" w:hAnsi="Arial" w:cs="Arial"/>
              <w:b/>
              <w:sz w:val="16"/>
              <w:szCs w:val="16"/>
            </w:rPr>
          </w:pPr>
        </w:p>
        <w:p w:rsidR="00456F0C" w:rsidRDefault="00456F0C" w:rsidP="00B37313">
          <w:pPr>
            <w:pStyle w:val="Encabezado"/>
            <w:rPr>
              <w:rFonts w:ascii="Copperplate Gothic Bold" w:hAnsi="Copperplate Gothic Bold"/>
            </w:rPr>
          </w:pPr>
        </w:p>
        <w:p w:rsidR="00456F0C" w:rsidRDefault="00456F0C" w:rsidP="00B37313">
          <w:pPr>
            <w:pStyle w:val="Encabezado"/>
            <w:rPr>
              <w:rFonts w:ascii="Copperplate Gothic Bold" w:hAnsi="Copperplate Gothic Bold"/>
            </w:rPr>
          </w:pPr>
        </w:p>
        <w:p w:rsidR="00456F0C" w:rsidRPr="00B37313" w:rsidRDefault="00456F0C" w:rsidP="00B37313">
          <w:pPr>
            <w:pStyle w:val="Encabezado"/>
            <w:rPr>
              <w:rFonts w:ascii="Copperplate Gothic Bold" w:hAnsi="Copperplate Gothic Bold"/>
            </w:rPr>
          </w:pPr>
        </w:p>
        <w:p w:rsidR="00456F0C" w:rsidRPr="00B37313" w:rsidRDefault="00456F0C" w:rsidP="00F05108">
          <w:pPr>
            <w:pStyle w:val="Encabezado"/>
            <w:ind w:firstLine="708"/>
            <w:rPr>
              <w:rFonts w:asciiTheme="majorHAnsi" w:hAnsiTheme="majorHAnsi"/>
              <w:sz w:val="18"/>
              <w:szCs w:val="18"/>
            </w:rPr>
          </w:pPr>
        </w:p>
        <w:p w:rsidR="00456F0C" w:rsidRPr="00907146" w:rsidRDefault="00456F0C"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456F0C" w:rsidRPr="00DE2DDE" w:rsidRDefault="00456F0C" w:rsidP="00DE2DDE">
          <w:pPr>
            <w:pStyle w:val="Ttulo2"/>
            <w:outlineLvl w:val="1"/>
          </w:pPr>
          <w:r>
            <w:t>DEC. 19</w:t>
          </w:r>
          <w:r w:rsidR="000A3B88">
            <w:t>3</w:t>
          </w:r>
          <w:r>
            <w:t xml:space="preserve"> P.O. 15 DE FECHA 20 DE FEBRERO</w:t>
          </w:r>
          <w:r w:rsidRPr="00DE2DDE">
            <w:t xml:space="preserve"> DE 20</w:t>
          </w:r>
          <w:r>
            <w:t>20</w:t>
          </w:r>
          <w:r w:rsidRPr="00DE2DDE">
            <w:t>.</w:t>
          </w:r>
        </w:p>
        <w:p w:rsidR="00456F0C" w:rsidRPr="00964BFE" w:rsidRDefault="00456F0C" w:rsidP="00DE2DDE">
          <w:pPr>
            <w:pStyle w:val="Ttulo2"/>
            <w:outlineLvl w:val="1"/>
          </w:pPr>
          <w:r w:rsidRPr="00964BFE">
            <w:t xml:space="preserve"> </w:t>
          </w:r>
        </w:p>
        <w:p w:rsidR="00456F0C" w:rsidRPr="0087385B" w:rsidRDefault="00456F0C" w:rsidP="0087385B">
          <w:pPr>
            <w:pStyle w:val="Encabezado"/>
            <w:jc w:val="right"/>
            <w:rPr>
              <w:rFonts w:asciiTheme="majorHAnsi" w:hAnsiTheme="majorHAnsi"/>
              <w:sz w:val="16"/>
              <w:szCs w:val="16"/>
            </w:rPr>
          </w:pPr>
        </w:p>
      </w:tc>
    </w:tr>
  </w:tbl>
  <w:p w:rsidR="00456F0C" w:rsidRPr="00B37313" w:rsidRDefault="00456F0C"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0D58"/>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56F0C"/>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7924"/>
    <w:rsid w:val="00BA7972"/>
    <w:rsid w:val="00BA7C0B"/>
    <w:rsid w:val="00BB2712"/>
    <w:rsid w:val="00BB5AD1"/>
    <w:rsid w:val="00BC3933"/>
    <w:rsid w:val="00BC3FEF"/>
    <w:rsid w:val="00BD1F2A"/>
    <w:rsid w:val="00BD62E9"/>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CB04-E965-4C0A-B029-9BC2D998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33979</Words>
  <Characters>186888</Characters>
  <Application>Microsoft Office Word</Application>
  <DocSecurity>0</DocSecurity>
  <Lines>1557</Lines>
  <Paragraphs>440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4</cp:revision>
  <cp:lastPrinted>2013-09-23T15:31:00Z</cp:lastPrinted>
  <dcterms:created xsi:type="dcterms:W3CDTF">2020-12-02T19:47:00Z</dcterms:created>
  <dcterms:modified xsi:type="dcterms:W3CDTF">2021-01-21T18:46:00Z</dcterms:modified>
</cp:coreProperties>
</file>