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 xml:space="preserve">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w:t>
      </w:r>
      <w:r w:rsidRPr="00A5492C">
        <w:rPr>
          <w:rFonts w:ascii="Arial" w:hAnsi="Arial" w:cs="Arial"/>
          <w:sz w:val="22"/>
          <w:szCs w:val="22"/>
        </w:rPr>
        <w:lastRenderedPageBreak/>
        <w:t>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lastRenderedPageBreak/>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 xml:space="preserve">Si las rentas de la persona sujeta a tutela no alcanzan a cubrir los gastos de su alimentación, educación y asistencia, el Juez decidirá si ha de ponérsele a aprender un oficio o </w:t>
      </w:r>
      <w:r w:rsidRPr="00A5492C">
        <w:rPr>
          <w:rFonts w:ascii="Arial" w:hAnsi="Arial" w:cs="Arial"/>
          <w:bCs/>
          <w:sz w:val="22"/>
          <w:szCs w:val="22"/>
        </w:rPr>
        <w:lastRenderedPageBreak/>
        <w:t>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 xml:space="preserve">Si la tutela hubiere fenecido durante la minoridad, el menor podrá ejercitar las acciones correspondientes contra el primer tutor y los que le hubieren sucedido en el cargo, computándose </w:t>
      </w:r>
      <w:r w:rsidRPr="00A5492C">
        <w:rPr>
          <w:rFonts w:ascii="Arial" w:hAnsi="Arial" w:cs="Arial"/>
          <w:sz w:val="22"/>
          <w:szCs w:val="22"/>
        </w:rPr>
        <w:lastRenderedPageBreak/>
        <w:t>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ella pero el poseedor o poseedores de los bienes hereditarios, al restituirlos, se </w:t>
      </w:r>
      <w:r w:rsidRPr="00173432">
        <w:rPr>
          <w:rFonts w:ascii="Arial" w:hAnsi="Arial" w:cs="Arial"/>
          <w:sz w:val="22"/>
          <w:szCs w:val="22"/>
        </w:rPr>
        <w:lastRenderedPageBreak/>
        <w:t>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 xml:space="preserve">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w:t>
      </w:r>
      <w:r w:rsidR="00716128" w:rsidRPr="00716128">
        <w:rPr>
          <w:rFonts w:ascii="Arial" w:hAnsi="Arial" w:cs="Arial"/>
          <w:sz w:val="22"/>
          <w:szCs w:val="22"/>
        </w:rPr>
        <w:lastRenderedPageBreak/>
        <w:t>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 xml:space="preserve">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w:t>
      </w:r>
      <w:r w:rsidRPr="007A1D28">
        <w:rPr>
          <w:rFonts w:ascii="Arial" w:hAnsi="Arial" w:cs="Arial"/>
          <w:sz w:val="22"/>
          <w:szCs w:val="22"/>
        </w:rPr>
        <w:lastRenderedPageBreak/>
        <w:t>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 xml:space="preserve">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w:t>
      </w:r>
      <w:r w:rsidRPr="007A1D28">
        <w:rPr>
          <w:rFonts w:ascii="Arial" w:hAnsi="Arial" w:cs="Arial"/>
          <w:sz w:val="22"/>
          <w:szCs w:val="22"/>
        </w:rPr>
        <w:lastRenderedPageBreak/>
        <w:t>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 xml:space="preserve">Cada propietario de una pared común podrá usar de ella en proporción al derecho que tenga en la comunidad; podrá, por lo tanto, edificar, apoyando su obra en la pared común o </w:t>
      </w:r>
      <w:r w:rsidRPr="00AE3149">
        <w:rPr>
          <w:rFonts w:ascii="Arial" w:hAnsi="Arial" w:cs="Arial"/>
          <w:sz w:val="22"/>
          <w:szCs w:val="22"/>
        </w:rPr>
        <w:lastRenderedPageBreak/>
        <w:t>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lastRenderedPageBreak/>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 xml:space="preserve">Los frutos naturales o industriales pendientes al tiempo de comenzar el usufructo, pertenecerán al usufructuario. Los pendientes al tiempo de extinguirse el usufructo, pertenecen al </w:t>
      </w:r>
      <w:r w:rsidRPr="00AE3149">
        <w:rPr>
          <w:rFonts w:ascii="Arial" w:hAnsi="Arial" w:cs="Arial"/>
          <w:sz w:val="22"/>
          <w:szCs w:val="22"/>
        </w:rPr>
        <w:lastRenderedPageBreak/>
        <w:t>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 xml:space="preserve">No corresponden al usufructuario los productos de las minas que se exploten en terreno dado en usufructo, a no ser que expresamente se le conceda el título constitutivo del usufructo </w:t>
      </w:r>
      <w:r w:rsidRPr="00AE3149">
        <w:rPr>
          <w:rFonts w:ascii="Arial" w:hAnsi="Arial" w:cs="Arial"/>
          <w:sz w:val="22"/>
          <w:szCs w:val="22"/>
        </w:rPr>
        <w:lastRenderedPageBreak/>
        <w:t>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 xml:space="preserve">Si el usufructo se constituye por título oneroso, y el usufructuario no presta la correspondiente fianza, el propietario tiene el derecho de intervenir la administración de los bienes, </w:t>
      </w:r>
      <w:r w:rsidRPr="00AE3149">
        <w:rPr>
          <w:rFonts w:ascii="Arial" w:hAnsi="Arial" w:cs="Arial"/>
          <w:sz w:val="22"/>
          <w:szCs w:val="22"/>
        </w:rPr>
        <w:lastRenderedPageBreak/>
        <w:t>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 xml:space="preserve">Cuando para el mejor aprovechamiento del de que se tiene derecho disponer, fuere necesario construir una presa y el que haya de hacerlo no sea dueño del terreno en que se necesite </w:t>
      </w:r>
      <w:r w:rsidRPr="00AE3149">
        <w:rPr>
          <w:rFonts w:ascii="Arial" w:hAnsi="Arial" w:cs="Arial"/>
          <w:sz w:val="22"/>
          <w:szCs w:val="22"/>
        </w:rPr>
        <w:lastRenderedPageBreak/>
        <w:t>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 xml:space="preserve">La existencia de un signo aparente de servidumbre entre dos fincas, establecido o conservado por el propietario de ambos, se considera, si se enajenaron, como título para que la </w:t>
      </w:r>
      <w:r w:rsidRPr="00AE3149">
        <w:rPr>
          <w:rFonts w:ascii="Arial" w:hAnsi="Arial" w:cs="Arial"/>
          <w:sz w:val="22"/>
          <w:szCs w:val="22"/>
        </w:rPr>
        <w:lastRenderedPageBreak/>
        <w:t>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lastRenderedPageBreak/>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lastRenderedPageBreak/>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w:t>
      </w:r>
      <w:r w:rsidRPr="00AE3149">
        <w:rPr>
          <w:rFonts w:ascii="Arial" w:hAnsi="Arial" w:cs="Arial"/>
          <w:sz w:val="22"/>
          <w:szCs w:val="22"/>
        </w:rPr>
        <w:lastRenderedPageBreak/>
        <w:t>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w:t>
      </w:r>
      <w:r w:rsidRPr="004E363C">
        <w:rPr>
          <w:rFonts w:ascii="Arial" w:hAnsi="Arial" w:cs="Arial"/>
          <w:sz w:val="22"/>
          <w:szCs w:val="22"/>
        </w:rPr>
        <w:lastRenderedPageBreak/>
        <w:t>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 xml:space="preserve">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w:t>
      </w:r>
      <w:r w:rsidRPr="00AE3149">
        <w:rPr>
          <w:rFonts w:ascii="Arial" w:hAnsi="Arial" w:cs="Arial"/>
          <w:sz w:val="22"/>
          <w:szCs w:val="22"/>
        </w:rPr>
        <w:lastRenderedPageBreak/>
        <w:t>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 xml:space="preserve">Los Agentes diplomáticos, cónsules o las autoridades marítimas levantarán, luego que reciban los ejemplares referidos, un acta de la entrega y la remitirán con los citados ejemplares, a </w:t>
      </w:r>
      <w:r w:rsidRPr="00AE3149">
        <w:rPr>
          <w:rFonts w:ascii="Arial" w:hAnsi="Arial" w:cs="Arial"/>
          <w:sz w:val="22"/>
          <w:szCs w:val="22"/>
        </w:rPr>
        <w:lastRenderedPageBreak/>
        <w:t>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w:t>
      </w:r>
      <w:r w:rsidRPr="00AE3149">
        <w:rPr>
          <w:rFonts w:ascii="Arial" w:hAnsi="Arial" w:cs="Arial"/>
          <w:sz w:val="22"/>
          <w:szCs w:val="22"/>
        </w:rPr>
        <w:lastRenderedPageBreak/>
        <w:t xml:space="preserve">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lastRenderedPageBreak/>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 xml:space="preserve">El que de buena fe hubiere aceptado un pago indebido, tiene derecho a que se le abonen los gastos necesarios y a retirar las mejoras útiles, si con la separación no sufre detrimento la </w:t>
      </w:r>
      <w:r w:rsidRPr="00AE3149">
        <w:rPr>
          <w:rFonts w:ascii="Arial" w:hAnsi="Arial" w:cs="Arial"/>
          <w:sz w:val="22"/>
          <w:szCs w:val="22"/>
        </w:rPr>
        <w:lastRenderedPageBreak/>
        <w:t>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w:t>
      </w:r>
      <w:r w:rsidRPr="00AE3149">
        <w:rPr>
          <w:rFonts w:ascii="Arial" w:hAnsi="Arial" w:cs="Arial"/>
          <w:sz w:val="22"/>
          <w:szCs w:val="22"/>
        </w:rPr>
        <w:lastRenderedPageBreak/>
        <w:t>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 xml:space="preserve">Cada uno de los acreedores o todos juntos pueden exigir de todos los deudores solidarios, o de cualquiera de ellos, el pago total o parcial de la deuda. Si reclaman todo de uno de los </w:t>
      </w:r>
      <w:r w:rsidRPr="00AE3149">
        <w:rPr>
          <w:rFonts w:ascii="Arial" w:hAnsi="Arial" w:cs="Arial"/>
          <w:sz w:val="22"/>
          <w:szCs w:val="22"/>
        </w:rPr>
        <w:lastRenderedPageBreak/>
        <w:t>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pre-preventivo, el notario ante quien se otorgó dará aviso preventivo </w:t>
      </w:r>
      <w:r w:rsidRPr="00AE3149">
        <w:rPr>
          <w:rFonts w:ascii="Arial" w:hAnsi="Arial" w:cs="Arial"/>
          <w:sz w:val="22"/>
          <w:szCs w:val="22"/>
        </w:rPr>
        <w:lastRenderedPageBreak/>
        <w:t>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bookmarkStart w:id="0" w:name="_GoBack"/>
      <w:bookmarkEnd w:id="0"/>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s-MX"/>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sectPr w:rsidR="007D01AC" w:rsidRPr="007D01AC"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DE" w:rsidRDefault="00BE73DE" w:rsidP="00FA3700">
      <w:r>
        <w:separator/>
      </w:r>
    </w:p>
  </w:endnote>
  <w:endnote w:type="continuationSeparator" w:id="0">
    <w:p w:rsidR="00BE73DE" w:rsidRDefault="00BE73D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57440E" w:rsidRDefault="0057440E">
        <w:pPr>
          <w:pStyle w:val="Piedepgina"/>
          <w:jc w:val="right"/>
        </w:pPr>
        <w:r>
          <w:fldChar w:fldCharType="begin"/>
        </w:r>
        <w:r>
          <w:instrText xml:space="preserve"> PAGE   \* MERGEFORMAT </w:instrText>
        </w:r>
        <w:r>
          <w:fldChar w:fldCharType="separate"/>
        </w:r>
        <w:r w:rsidR="0040498E">
          <w:rPr>
            <w:noProof/>
          </w:rPr>
          <w:t>370</w:t>
        </w:r>
        <w:r>
          <w:rPr>
            <w:noProof/>
          </w:rPr>
          <w:fldChar w:fldCharType="end"/>
        </w:r>
      </w:p>
    </w:sdtContent>
  </w:sdt>
  <w:p w:rsidR="0057440E" w:rsidRDefault="005744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DE" w:rsidRDefault="00BE73DE" w:rsidP="00FA3700">
      <w:r>
        <w:separator/>
      </w:r>
    </w:p>
  </w:footnote>
  <w:footnote w:type="continuationSeparator" w:id="0">
    <w:p w:rsidR="00BE73DE" w:rsidRDefault="00BE73D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57440E"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57440E" w:rsidTr="004D28F6">
            <w:trPr>
              <w:trHeight w:val="1402"/>
            </w:trPr>
            <w:tc>
              <w:tcPr>
                <w:tcW w:w="4570" w:type="dxa"/>
              </w:tcPr>
              <w:p w:rsidR="0057440E" w:rsidRDefault="0057440E"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57440E" w:rsidRDefault="0057440E" w:rsidP="00F8571A">
                <w:pPr>
                  <w:pStyle w:val="Encabezado"/>
                  <w:tabs>
                    <w:tab w:val="clear" w:pos="4252"/>
                  </w:tabs>
                  <w:rPr>
                    <w:rFonts w:ascii="Candara" w:hAnsi="Candara" w:cs="Arial"/>
                    <w:b/>
                    <w:i/>
                    <w:sz w:val="18"/>
                    <w:szCs w:val="18"/>
                  </w:rPr>
                </w:pPr>
              </w:p>
              <w:p w:rsidR="0057440E" w:rsidRPr="00A16A75" w:rsidRDefault="0057440E"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57440E" w:rsidRPr="004D28F6" w:rsidRDefault="0057440E" w:rsidP="00655FCC">
                <w:pPr>
                  <w:pStyle w:val="Encabezado"/>
                  <w:tabs>
                    <w:tab w:val="clear" w:pos="4252"/>
                  </w:tabs>
                  <w:rPr>
                    <w:rFonts w:ascii="Arial" w:hAnsi="Arial" w:cs="Arial"/>
                    <w:b/>
                    <w:i/>
                    <w:sz w:val="18"/>
                    <w:szCs w:val="18"/>
                  </w:rPr>
                </w:pPr>
              </w:p>
              <w:p w:rsidR="0057440E" w:rsidRPr="004D28F6" w:rsidRDefault="0057440E" w:rsidP="00FA3700">
                <w:pPr>
                  <w:pStyle w:val="Encabezado"/>
                  <w:jc w:val="center"/>
                  <w:rPr>
                    <w:rFonts w:ascii="Arial" w:hAnsi="Arial" w:cs="Arial"/>
                    <w:b/>
                    <w:i/>
                    <w:sz w:val="18"/>
                    <w:szCs w:val="18"/>
                  </w:rPr>
                </w:pPr>
              </w:p>
              <w:p w:rsidR="0057440E" w:rsidRPr="004D28F6" w:rsidRDefault="0057440E" w:rsidP="00FA3700">
                <w:pPr>
                  <w:pStyle w:val="Encabezado"/>
                  <w:jc w:val="center"/>
                  <w:rPr>
                    <w:rFonts w:ascii="Arial" w:hAnsi="Arial" w:cs="Arial"/>
                    <w:b/>
                    <w:i/>
                    <w:sz w:val="18"/>
                    <w:szCs w:val="18"/>
                  </w:rPr>
                </w:pPr>
              </w:p>
              <w:p w:rsidR="0057440E" w:rsidRPr="004D28F6" w:rsidRDefault="0057440E"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57440E" w:rsidRPr="004D28F6" w:rsidRDefault="0057440E"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57440E" w:rsidRPr="00B0106B" w:rsidRDefault="0057440E" w:rsidP="0057440E">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7D01AC">
                  <w:rPr>
                    <w:rFonts w:asciiTheme="minorHAnsi" w:eastAsiaTheme="minorHAnsi" w:hAnsiTheme="minorHAnsi" w:cs="Arial"/>
                    <w:i/>
                    <w:color w:val="000000" w:themeColor="text1"/>
                    <w:sz w:val="14"/>
                    <w:szCs w:val="16"/>
                  </w:rPr>
                  <w:t>. 383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P.O. 43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31</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MAYO</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8</w:t>
                </w:r>
                <w:r w:rsidRPr="004D28F6">
                  <w:rPr>
                    <w:rFonts w:asciiTheme="minorHAnsi" w:eastAsiaTheme="minorHAnsi" w:hAnsiTheme="minorHAnsi" w:cs="Arial"/>
                    <w:i/>
                    <w:color w:val="000000" w:themeColor="text1"/>
                    <w:sz w:val="14"/>
                    <w:szCs w:val="16"/>
                  </w:rPr>
                  <w:t>.</w:t>
                </w:r>
              </w:p>
            </w:tc>
          </w:tr>
        </w:tbl>
        <w:p w:rsidR="0057440E" w:rsidRPr="00340D16" w:rsidRDefault="0057440E" w:rsidP="00680DC6">
          <w:pPr>
            <w:pStyle w:val="Encabezado"/>
            <w:jc w:val="center"/>
          </w:pPr>
        </w:p>
      </w:tc>
    </w:tr>
  </w:tbl>
  <w:p w:rsidR="0057440E" w:rsidRDefault="0057440E"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513E"/>
    <w:rsid w:val="00151D0E"/>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2BCB"/>
    <w:rsid w:val="00323CEB"/>
    <w:rsid w:val="00333E58"/>
    <w:rsid w:val="00354BB1"/>
    <w:rsid w:val="00355993"/>
    <w:rsid w:val="003658FE"/>
    <w:rsid w:val="00366766"/>
    <w:rsid w:val="0039290A"/>
    <w:rsid w:val="003A1F50"/>
    <w:rsid w:val="003B05F8"/>
    <w:rsid w:val="003B3FDB"/>
    <w:rsid w:val="003E7D99"/>
    <w:rsid w:val="0040498E"/>
    <w:rsid w:val="0040555D"/>
    <w:rsid w:val="00407709"/>
    <w:rsid w:val="0041316B"/>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1631"/>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7A74"/>
    <w:rsid w:val="00DA2B92"/>
    <w:rsid w:val="00DA32E7"/>
    <w:rsid w:val="00DA36C6"/>
    <w:rsid w:val="00DA3AE3"/>
    <w:rsid w:val="00DB45E0"/>
    <w:rsid w:val="00DC0CBA"/>
    <w:rsid w:val="00DD60AA"/>
    <w:rsid w:val="00DD7846"/>
    <w:rsid w:val="00DF5DC5"/>
    <w:rsid w:val="00DF66D6"/>
    <w:rsid w:val="00DF6D99"/>
    <w:rsid w:val="00E02179"/>
    <w:rsid w:val="00E021FD"/>
    <w:rsid w:val="00E338FF"/>
    <w:rsid w:val="00E429F1"/>
    <w:rsid w:val="00E71691"/>
    <w:rsid w:val="00E74D86"/>
    <w:rsid w:val="00E7668B"/>
    <w:rsid w:val="00E8113C"/>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8633F"/>
    <w:rsid w:val="00FA3700"/>
    <w:rsid w:val="00FB3536"/>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E6AD-3D94-4371-A3D5-047AFB95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370</Pages>
  <Words>132093</Words>
  <Characters>726514</Characters>
  <Application>Microsoft Office Word</Application>
  <DocSecurity>0</DocSecurity>
  <Lines>6054</Lines>
  <Paragraphs>1713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5</cp:revision>
  <cp:lastPrinted>2017-03-14T20:17:00Z</cp:lastPrinted>
  <dcterms:created xsi:type="dcterms:W3CDTF">2018-06-28T18:21:00Z</dcterms:created>
  <dcterms:modified xsi:type="dcterms:W3CDTF">2018-08-29T15:58:00Z</dcterms:modified>
</cp:coreProperties>
</file>