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F1AF4" w14:textId="40825E90" w:rsidR="00BA4BDD" w:rsidRPr="00FD226A" w:rsidRDefault="0025346F" w:rsidP="002534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D226A">
        <w:rPr>
          <w:rFonts w:ascii="Arial" w:hAnsi="Arial" w:cs="Arial"/>
          <w:b/>
          <w:bCs/>
          <w:sz w:val="28"/>
          <w:szCs w:val="28"/>
        </w:rPr>
        <w:t xml:space="preserve">RIESGOS RELEVANTES DE LAS FINANZAS </w:t>
      </w:r>
      <w:r w:rsidR="00FD226A" w:rsidRPr="00FD226A">
        <w:rPr>
          <w:rFonts w:ascii="Arial" w:hAnsi="Arial" w:cs="Arial"/>
          <w:b/>
          <w:bCs/>
          <w:sz w:val="28"/>
          <w:szCs w:val="28"/>
        </w:rPr>
        <w:t>PÚBLICA</w:t>
      </w:r>
      <w:r w:rsidR="00FD226A">
        <w:rPr>
          <w:rFonts w:ascii="Arial" w:hAnsi="Arial" w:cs="Arial"/>
          <w:b/>
          <w:bCs/>
          <w:sz w:val="28"/>
          <w:szCs w:val="28"/>
        </w:rPr>
        <w:t>S</w:t>
      </w:r>
      <w:r w:rsidRPr="00FD226A">
        <w:rPr>
          <w:rFonts w:ascii="Arial" w:hAnsi="Arial" w:cs="Arial"/>
          <w:b/>
          <w:bCs/>
          <w:sz w:val="28"/>
          <w:szCs w:val="28"/>
        </w:rPr>
        <w:t xml:space="preserve"> / PROPUESTAS DE ACCIÓN PARA ENFRENTARLOS</w:t>
      </w:r>
    </w:p>
    <w:p w14:paraId="31D9D058" w14:textId="77777777" w:rsidR="00BA4BDD" w:rsidRPr="0025346F" w:rsidRDefault="00BA4BDD" w:rsidP="00BA4BDD">
      <w:pPr>
        <w:rPr>
          <w:rFonts w:ascii="Arial" w:hAnsi="Arial" w:cs="Arial"/>
        </w:rPr>
      </w:pPr>
    </w:p>
    <w:p w14:paraId="03AD01D8" w14:textId="43D64824" w:rsidR="009A6C7B" w:rsidRPr="0025346F" w:rsidRDefault="00BA4BDD" w:rsidP="0025346F">
      <w:pPr>
        <w:jc w:val="both"/>
        <w:rPr>
          <w:rFonts w:ascii="Arial" w:hAnsi="Arial" w:cs="Arial"/>
        </w:rPr>
      </w:pPr>
      <w:r w:rsidRPr="0025346F">
        <w:rPr>
          <w:rFonts w:ascii="Arial" w:hAnsi="Arial" w:cs="Arial"/>
        </w:rPr>
        <w:t xml:space="preserve">En cumplimiento al artículo 5 fracción III de la “Ley de Disciplina Financiera de las Entidades Federativas y los Municipios” y al artículo TERCERO transitorio de los “Criterios para la elaboración y presentación homogénea de la información financiera y de los formatos a que hace referencia la Ley de Disciplina Financiera de las Entidades federativas y los Municipios”, se presentan los riesgos relevantes asociados al gasto público </w:t>
      </w:r>
      <w:r w:rsidR="0025346F">
        <w:rPr>
          <w:rFonts w:ascii="Arial" w:hAnsi="Arial" w:cs="Arial"/>
        </w:rPr>
        <w:t>municipal</w:t>
      </w:r>
      <w:r w:rsidRPr="0025346F">
        <w:rPr>
          <w:rFonts w:ascii="Arial" w:hAnsi="Arial" w:cs="Arial"/>
        </w:rPr>
        <w:t>.</w:t>
      </w:r>
    </w:p>
    <w:p w14:paraId="6AC4E127" w14:textId="30115ADA" w:rsidR="00BA4BDD" w:rsidRDefault="00BA4BDD" w:rsidP="00BA4BDD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5346F" w14:paraId="6EC824E7" w14:textId="77777777" w:rsidTr="0025346F">
        <w:tc>
          <w:tcPr>
            <w:tcW w:w="4414" w:type="dxa"/>
          </w:tcPr>
          <w:p w14:paraId="1799C773" w14:textId="4EA646E2" w:rsidR="0025346F" w:rsidRDefault="0025346F" w:rsidP="00BA4BDD">
            <w:pPr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Descripción de los Riesgos Relevantes</w:t>
            </w:r>
          </w:p>
        </w:tc>
        <w:tc>
          <w:tcPr>
            <w:tcW w:w="4414" w:type="dxa"/>
          </w:tcPr>
          <w:p w14:paraId="01853829" w14:textId="7AAF5EA9" w:rsidR="0025346F" w:rsidRDefault="0025346F" w:rsidP="00BA4BDD">
            <w:pPr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Propuesta de Acción para Enfrentarla</w:t>
            </w:r>
          </w:p>
        </w:tc>
      </w:tr>
      <w:tr w:rsidR="0025346F" w14:paraId="414F0263" w14:textId="77777777" w:rsidTr="0025346F">
        <w:tc>
          <w:tcPr>
            <w:tcW w:w="4414" w:type="dxa"/>
          </w:tcPr>
          <w:p w14:paraId="7977DF6A" w14:textId="77777777" w:rsidR="0025346F" w:rsidRPr="0025346F" w:rsidRDefault="0025346F" w:rsidP="0025346F">
            <w:pPr>
              <w:ind w:firstLine="708"/>
              <w:rPr>
                <w:rFonts w:ascii="Arial" w:hAnsi="Arial" w:cs="Arial"/>
              </w:rPr>
            </w:pPr>
          </w:p>
          <w:p w14:paraId="06C2CEA3" w14:textId="651FD5B7" w:rsidR="0025346F" w:rsidRDefault="0025346F" w:rsidP="0025346F">
            <w:pPr>
              <w:ind w:firstLine="708"/>
              <w:rPr>
                <w:rFonts w:ascii="Arial" w:hAnsi="Arial" w:cs="Arial"/>
                <w:b/>
                <w:bCs/>
              </w:rPr>
            </w:pPr>
            <w:r w:rsidRPr="00312D99">
              <w:rPr>
                <w:rFonts w:ascii="Arial" w:hAnsi="Arial" w:cs="Arial"/>
                <w:b/>
                <w:bCs/>
              </w:rPr>
              <w:t>Riesgos Económicos:</w:t>
            </w:r>
          </w:p>
          <w:p w14:paraId="1156C43F" w14:textId="77777777" w:rsidR="00312D99" w:rsidRPr="00312D99" w:rsidRDefault="00312D99" w:rsidP="0025346F">
            <w:pPr>
              <w:ind w:firstLine="708"/>
              <w:rPr>
                <w:rFonts w:ascii="Arial" w:hAnsi="Arial" w:cs="Arial"/>
                <w:b/>
                <w:bCs/>
              </w:rPr>
            </w:pPr>
          </w:p>
          <w:p w14:paraId="60557276" w14:textId="4A80D565" w:rsidR="0025346F" w:rsidRPr="0025346F" w:rsidRDefault="0025346F" w:rsidP="00312D99">
            <w:pPr>
              <w:ind w:firstLine="708"/>
              <w:jc w:val="both"/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En</w:t>
            </w:r>
            <w:r w:rsidRPr="0025346F">
              <w:rPr>
                <w:rFonts w:ascii="Arial" w:hAnsi="Arial" w:cs="Arial"/>
              </w:rPr>
              <w:tab/>
              <w:t>los</w:t>
            </w:r>
            <w:r w:rsidRPr="0025346F">
              <w:rPr>
                <w:rFonts w:ascii="Arial" w:hAnsi="Arial" w:cs="Arial"/>
              </w:rPr>
              <w:tab/>
              <w:t>Criterios</w:t>
            </w:r>
            <w:r w:rsidR="00312D99">
              <w:rPr>
                <w:rFonts w:ascii="Arial" w:hAnsi="Arial" w:cs="Arial"/>
              </w:rPr>
              <w:t xml:space="preserve"> </w:t>
            </w:r>
            <w:r w:rsidRPr="0025346F">
              <w:rPr>
                <w:rFonts w:ascii="Arial" w:hAnsi="Arial" w:cs="Arial"/>
              </w:rPr>
              <w:t>Generales</w:t>
            </w:r>
            <w:r w:rsidRPr="0025346F">
              <w:rPr>
                <w:rFonts w:ascii="Arial" w:hAnsi="Arial" w:cs="Arial"/>
              </w:rPr>
              <w:tab/>
              <w:t>de</w:t>
            </w:r>
            <w:r w:rsidRPr="0025346F">
              <w:rPr>
                <w:rFonts w:ascii="Arial" w:hAnsi="Arial" w:cs="Arial"/>
              </w:rPr>
              <w:tab/>
              <w:t>Política</w:t>
            </w:r>
            <w:r w:rsidR="00312D99">
              <w:rPr>
                <w:rFonts w:ascii="Arial" w:hAnsi="Arial" w:cs="Arial"/>
              </w:rPr>
              <w:t xml:space="preserve"> </w:t>
            </w:r>
            <w:r w:rsidRPr="0025346F">
              <w:rPr>
                <w:rFonts w:ascii="Arial" w:hAnsi="Arial" w:cs="Arial"/>
              </w:rPr>
              <w:t>Económica 2</w:t>
            </w:r>
            <w:r w:rsidR="00312D99">
              <w:rPr>
                <w:rFonts w:ascii="Arial" w:hAnsi="Arial" w:cs="Arial"/>
              </w:rPr>
              <w:t>02</w:t>
            </w:r>
            <w:r w:rsidR="009F49B1">
              <w:rPr>
                <w:rFonts w:ascii="Arial" w:hAnsi="Arial" w:cs="Arial"/>
              </w:rPr>
              <w:t>2</w:t>
            </w:r>
            <w:r w:rsidRPr="0025346F">
              <w:rPr>
                <w:rFonts w:ascii="Arial" w:hAnsi="Arial" w:cs="Arial"/>
              </w:rPr>
              <w:t>, se enuncian los principales</w:t>
            </w:r>
            <w:r w:rsidR="00312D99">
              <w:rPr>
                <w:rFonts w:ascii="Arial" w:hAnsi="Arial" w:cs="Arial"/>
              </w:rPr>
              <w:t xml:space="preserve"> </w:t>
            </w:r>
            <w:r w:rsidRPr="0025346F">
              <w:rPr>
                <w:rFonts w:ascii="Arial" w:hAnsi="Arial" w:cs="Arial"/>
              </w:rPr>
              <w:t>riesgos que pueden afectar el desempeño de</w:t>
            </w:r>
            <w:r w:rsidR="00312D99">
              <w:rPr>
                <w:rFonts w:ascii="Arial" w:hAnsi="Arial" w:cs="Arial"/>
              </w:rPr>
              <w:t xml:space="preserve"> </w:t>
            </w:r>
            <w:r w:rsidRPr="0025346F">
              <w:rPr>
                <w:rFonts w:ascii="Arial" w:hAnsi="Arial" w:cs="Arial"/>
              </w:rPr>
              <w:t>la economía nacional y en consecuencia</w:t>
            </w:r>
            <w:r w:rsidR="00312D99">
              <w:rPr>
                <w:rFonts w:ascii="Arial" w:hAnsi="Arial" w:cs="Arial"/>
              </w:rPr>
              <w:t xml:space="preserve"> </w:t>
            </w:r>
            <w:r w:rsidRPr="0025346F">
              <w:rPr>
                <w:rFonts w:ascii="Arial" w:hAnsi="Arial" w:cs="Arial"/>
              </w:rPr>
              <w:t xml:space="preserve">afectar a las Finanzas del </w:t>
            </w:r>
            <w:r w:rsidR="00312D99">
              <w:rPr>
                <w:rFonts w:ascii="Arial" w:hAnsi="Arial" w:cs="Arial"/>
              </w:rPr>
              <w:t>Municipio</w:t>
            </w:r>
            <w:r w:rsidRPr="0025346F">
              <w:rPr>
                <w:rFonts w:ascii="Arial" w:hAnsi="Arial" w:cs="Arial"/>
              </w:rPr>
              <w:t>.</w:t>
            </w:r>
          </w:p>
          <w:p w14:paraId="49150AC2" w14:textId="77777777" w:rsidR="0025346F" w:rsidRPr="0025346F" w:rsidRDefault="0025346F" w:rsidP="00312D99">
            <w:pPr>
              <w:ind w:firstLine="708"/>
              <w:jc w:val="both"/>
              <w:rPr>
                <w:rFonts w:ascii="Arial" w:hAnsi="Arial" w:cs="Arial"/>
              </w:rPr>
            </w:pPr>
          </w:p>
          <w:p w14:paraId="474A91E9" w14:textId="77777777" w:rsidR="0025346F" w:rsidRPr="0025346F" w:rsidRDefault="0025346F" w:rsidP="00312D99">
            <w:pPr>
              <w:ind w:firstLine="708"/>
              <w:jc w:val="both"/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-Que continúen y se profundicen las tensiones comerciales al punto de generar disrupciones en las cadenas globales de producción, afectando el crecimiento global de mediano plazo.</w:t>
            </w:r>
          </w:p>
          <w:p w14:paraId="12CC84E5" w14:textId="77777777" w:rsidR="0025346F" w:rsidRPr="0025346F" w:rsidRDefault="0025346F" w:rsidP="00312D99">
            <w:pPr>
              <w:ind w:firstLine="708"/>
              <w:jc w:val="both"/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-Una profundización de los riesgos geopolíticos que genere menores perspectivas de crecimiento en la economía mundial.</w:t>
            </w:r>
          </w:p>
          <w:p w14:paraId="4B12F239" w14:textId="77777777" w:rsidR="0025346F" w:rsidRPr="0025346F" w:rsidRDefault="0025346F" w:rsidP="00312D99">
            <w:pPr>
              <w:ind w:firstLine="708"/>
              <w:jc w:val="both"/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- Una desaceleración de la economía de Estados Unidos de América más fuerte que la esperada por el agotamiento del estímulo fiscal.</w:t>
            </w:r>
          </w:p>
          <w:p w14:paraId="137BE687" w14:textId="77777777" w:rsidR="0025346F" w:rsidRDefault="0025346F" w:rsidP="00312D99">
            <w:pPr>
              <w:ind w:firstLine="708"/>
              <w:jc w:val="both"/>
              <w:rPr>
                <w:rFonts w:ascii="Arial" w:hAnsi="Arial" w:cs="Arial"/>
              </w:rPr>
            </w:pPr>
            <w:r w:rsidRPr="0025346F">
              <w:rPr>
                <w:rFonts w:ascii="Arial" w:hAnsi="Arial" w:cs="Arial"/>
              </w:rPr>
              <w:t>- Condiciones más restrictivas en los mercados financieros internacionales por los procesos de normalización de las economías avanzadas que afecten la inversión a nivel mundial.</w:t>
            </w:r>
          </w:p>
          <w:p w14:paraId="032151B9" w14:textId="77777777" w:rsidR="00312D99" w:rsidRDefault="00312D99" w:rsidP="00312D99">
            <w:pPr>
              <w:ind w:firstLine="708"/>
              <w:jc w:val="both"/>
              <w:rPr>
                <w:rFonts w:ascii="Arial" w:hAnsi="Arial" w:cs="Arial"/>
              </w:rPr>
            </w:pPr>
            <w:r w:rsidRPr="00312D99">
              <w:rPr>
                <w:rFonts w:ascii="Arial" w:hAnsi="Arial" w:cs="Arial"/>
              </w:rPr>
              <w:t>-Las presiones fiscales ocasionadas por características estructurales, obligaciones financieras o la materialización de improvistos pueden representar un riesgo para las finanzas públicas.</w:t>
            </w:r>
          </w:p>
          <w:p w14:paraId="2A899962" w14:textId="208BFCAF" w:rsidR="00F478CA" w:rsidRDefault="00F478CA" w:rsidP="00312D99">
            <w:pPr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-La caída de la captación de los Recursos Federales como consecuencia </w:t>
            </w:r>
            <w:r>
              <w:rPr>
                <w:rFonts w:ascii="Arial" w:hAnsi="Arial" w:cs="Arial"/>
              </w:rPr>
              <w:lastRenderedPageBreak/>
              <w:t>de un menor dinamismo en términos económicos a nivel Nacional, lo que impactaría principalmente la obtención de ingresos por participaciones.</w:t>
            </w:r>
          </w:p>
          <w:p w14:paraId="35699440" w14:textId="4F4E8310" w:rsidR="00F478CA" w:rsidRDefault="00F478CA" w:rsidP="00312D99">
            <w:pPr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-Las disposiciones que se están emitiendo con el actual gobierno, ya que están generando cambios en la política económica y fiscal que afecta de manera directa la captación de ingresos públicos para el ente (Desaparición del Fondo Minero</w:t>
            </w:r>
            <w:r w:rsidR="00B02403">
              <w:rPr>
                <w:rFonts w:ascii="Arial" w:hAnsi="Arial" w:cs="Arial"/>
              </w:rPr>
              <w:t xml:space="preserve"> y Fideicomisos</w:t>
            </w:r>
            <w:r>
              <w:rPr>
                <w:rFonts w:ascii="Arial" w:hAnsi="Arial" w:cs="Arial"/>
              </w:rPr>
              <w:t>)</w:t>
            </w:r>
            <w:r w:rsidR="00B02403">
              <w:rPr>
                <w:rFonts w:ascii="Arial" w:hAnsi="Arial" w:cs="Arial"/>
              </w:rPr>
              <w:t>.</w:t>
            </w:r>
          </w:p>
          <w:p w14:paraId="1206EACF" w14:textId="2E6AD38D" w:rsidR="00B02403" w:rsidRDefault="00B02403" w:rsidP="00312D99">
            <w:pPr>
              <w:ind w:firstLine="708"/>
              <w:jc w:val="both"/>
              <w:rPr>
                <w:rFonts w:ascii="Arial" w:hAnsi="Arial" w:cs="Arial"/>
              </w:rPr>
            </w:pPr>
          </w:p>
          <w:p w14:paraId="5342A595" w14:textId="6DE87429" w:rsidR="00B02403" w:rsidRDefault="00B02403" w:rsidP="00312D99">
            <w:pPr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-La crisis económica a nivel mundial a consecuencia de la pandemia del COVID-19</w:t>
            </w:r>
          </w:p>
          <w:p w14:paraId="3A869D3A" w14:textId="2FE9A26A" w:rsidR="00F478CA" w:rsidRDefault="00F478CA" w:rsidP="00312D99">
            <w:pPr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-La fluctuación del precio Dólar.</w:t>
            </w:r>
          </w:p>
          <w:p w14:paraId="31089992" w14:textId="77777777" w:rsidR="00F478CA" w:rsidRDefault="00F478CA" w:rsidP="00312D99">
            <w:pPr>
              <w:ind w:firstLine="708"/>
              <w:jc w:val="both"/>
              <w:rPr>
                <w:rFonts w:ascii="Arial" w:hAnsi="Arial" w:cs="Arial"/>
              </w:rPr>
            </w:pPr>
          </w:p>
          <w:p w14:paraId="0F019374" w14:textId="31F84072" w:rsidR="00F478CA" w:rsidRDefault="00F478CA" w:rsidP="00312D99">
            <w:pPr>
              <w:ind w:firstLine="7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-El Aumento en combustible y sus derivados.</w:t>
            </w:r>
          </w:p>
          <w:p w14:paraId="0F3CB1FA" w14:textId="74DF032C" w:rsidR="00F478CA" w:rsidRDefault="00F478CA" w:rsidP="00312D99">
            <w:pPr>
              <w:ind w:firstLine="708"/>
              <w:jc w:val="both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1E7F947F" w14:textId="77777777" w:rsidR="00312D99" w:rsidRPr="00312D99" w:rsidRDefault="00312D99" w:rsidP="00312D99">
            <w:pPr>
              <w:jc w:val="both"/>
              <w:rPr>
                <w:rFonts w:ascii="Arial" w:hAnsi="Arial" w:cs="Arial"/>
              </w:rPr>
            </w:pPr>
          </w:p>
          <w:p w14:paraId="7C6467EB" w14:textId="77777777" w:rsidR="00312D99" w:rsidRDefault="00312D99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45944B76" w14:textId="77777777" w:rsidR="00312D99" w:rsidRDefault="00312D99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833CEEE" w14:textId="0F6C3EE5" w:rsidR="00312D99" w:rsidRPr="00312D99" w:rsidRDefault="00312D99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12D99">
              <w:rPr>
                <w:rFonts w:ascii="Arial" w:hAnsi="Arial" w:cs="Arial"/>
              </w:rPr>
              <w:t>Para enfrentar los riesgos económicos que se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puedan suscitar por un escenario adverso y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de crisis geopolítica que puedan impactar en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 xml:space="preserve">las finanzas públicas, el gobierno </w:t>
            </w:r>
            <w:r w:rsidR="00F478CA">
              <w:rPr>
                <w:rFonts w:ascii="Arial" w:hAnsi="Arial" w:cs="Arial"/>
              </w:rPr>
              <w:t>Municipal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conducirá el presupuesto de egresos de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forma</w:t>
            </w:r>
            <w:r w:rsidR="00F478CA"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austera</w:t>
            </w:r>
            <w:r w:rsidR="00F478CA"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responsable,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implementando</w:t>
            </w:r>
            <w:r w:rsidR="00F478CA"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medidas</w:t>
            </w:r>
            <w:r>
              <w:rPr>
                <w:rFonts w:ascii="Arial" w:hAnsi="Arial" w:cs="Arial"/>
              </w:rPr>
              <w:t xml:space="preserve"> </w:t>
            </w:r>
            <w:r w:rsidRPr="00312D99">
              <w:rPr>
                <w:rFonts w:ascii="Arial" w:hAnsi="Arial" w:cs="Arial"/>
              </w:rPr>
              <w:t>oportunas</w:t>
            </w:r>
            <w:r w:rsidRPr="00312D99">
              <w:rPr>
                <w:rFonts w:ascii="Arial" w:hAnsi="Arial" w:cs="Arial"/>
              </w:rPr>
              <w:tab/>
              <w:t>para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312D99">
              <w:rPr>
                <w:rFonts w:ascii="Arial" w:hAnsi="Arial" w:cs="Arial"/>
              </w:rPr>
              <w:t>eficientar</w:t>
            </w:r>
            <w:proofErr w:type="spellEnd"/>
            <w:r w:rsidRPr="00312D99">
              <w:rPr>
                <w:rFonts w:ascii="Arial" w:hAnsi="Arial" w:cs="Arial"/>
              </w:rPr>
              <w:t xml:space="preserve"> los recursos y combatiendo los actos de corrupción e impunidad.</w:t>
            </w:r>
          </w:p>
          <w:p w14:paraId="16964B51" w14:textId="77777777" w:rsidR="00312D99" w:rsidRPr="00312D99" w:rsidRDefault="00312D99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1ED42783" w14:textId="77777777" w:rsidR="00312D99" w:rsidRPr="00312D99" w:rsidRDefault="00312D99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12D99">
              <w:rPr>
                <w:rFonts w:ascii="Arial" w:hAnsi="Arial" w:cs="Arial"/>
              </w:rPr>
              <w:t>La política de este gobierno es hacer más</w:t>
            </w:r>
          </w:p>
          <w:p w14:paraId="6B2EAAE0" w14:textId="3F6E001E" w:rsidR="0025346F" w:rsidRDefault="00312D99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12D99">
              <w:rPr>
                <w:rFonts w:ascii="Arial" w:hAnsi="Arial" w:cs="Arial"/>
              </w:rPr>
              <w:t xml:space="preserve">con menos recursos, </w:t>
            </w:r>
            <w:r w:rsidR="00B02403">
              <w:rPr>
                <w:rFonts w:ascii="Arial" w:hAnsi="Arial" w:cs="Arial"/>
              </w:rPr>
              <w:t xml:space="preserve">mantener el principio de austeridad, transparencia, economía y eficiencia del gasto, </w:t>
            </w:r>
            <w:r w:rsidRPr="00312D99">
              <w:rPr>
                <w:rFonts w:ascii="Arial" w:hAnsi="Arial" w:cs="Arial"/>
              </w:rPr>
              <w:t>donde la principal premisa es fortalecer los programas sociales de los que menos tienen.</w:t>
            </w:r>
          </w:p>
          <w:p w14:paraId="7A075CC8" w14:textId="77777777" w:rsidR="00B02403" w:rsidRDefault="00B02403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2226A74D" w14:textId="3C20551D" w:rsidR="00B02403" w:rsidRDefault="00B02403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Optimizar la captación de Recursos Municipales mediante la promoción de </w:t>
            </w:r>
            <w:r>
              <w:rPr>
                <w:rFonts w:ascii="Arial" w:hAnsi="Arial" w:cs="Arial"/>
              </w:rPr>
              <w:lastRenderedPageBreak/>
              <w:t>cumplimiento voluntario y la vigilancia de obligaciones.</w:t>
            </w:r>
          </w:p>
          <w:p w14:paraId="26846CCF" w14:textId="2F80C1F5" w:rsidR="00B02403" w:rsidRDefault="00B02403" w:rsidP="00312D9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Fortalecer la recaudación eficiente de los ingresos propios.</w:t>
            </w:r>
          </w:p>
        </w:tc>
      </w:tr>
      <w:tr w:rsidR="0025346F" w14:paraId="6E038015" w14:textId="77777777" w:rsidTr="0025346F">
        <w:tc>
          <w:tcPr>
            <w:tcW w:w="4414" w:type="dxa"/>
          </w:tcPr>
          <w:p w14:paraId="4F659CB9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3DDC3DAB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5D35FC1B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0F1B6ADB" w14:textId="4536AA74" w:rsidR="0025346F" w:rsidRPr="00FD226A" w:rsidRDefault="00312D99" w:rsidP="00B0240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226A">
              <w:rPr>
                <w:rFonts w:ascii="Arial" w:hAnsi="Arial" w:cs="Arial"/>
                <w:b/>
                <w:bCs/>
              </w:rPr>
              <w:t>Desastres Naturales</w:t>
            </w:r>
          </w:p>
        </w:tc>
        <w:tc>
          <w:tcPr>
            <w:tcW w:w="4414" w:type="dxa"/>
          </w:tcPr>
          <w:p w14:paraId="52AFC322" w14:textId="77777777" w:rsidR="00CA6CF7" w:rsidRPr="00B02403" w:rsidRDefault="00CA6CF7" w:rsidP="00B0240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02403">
              <w:rPr>
                <w:rFonts w:ascii="Arial" w:hAnsi="Arial" w:cs="Arial"/>
              </w:rPr>
              <w:t>Para atender las contingencias o daños</w:t>
            </w:r>
          </w:p>
          <w:p w14:paraId="29DF13B3" w14:textId="104BF865" w:rsidR="0025346F" w:rsidRPr="006C07F3" w:rsidRDefault="00CA6CF7" w:rsidP="00B02403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B02403">
              <w:rPr>
                <w:rFonts w:ascii="Arial" w:hAnsi="Arial" w:cs="Arial"/>
              </w:rPr>
              <w:t xml:space="preserve">suscitados por desastres naturales, el gobierno </w:t>
            </w:r>
            <w:r w:rsidR="00863854" w:rsidRPr="00B02403">
              <w:rPr>
                <w:rFonts w:ascii="Arial" w:hAnsi="Arial" w:cs="Arial"/>
              </w:rPr>
              <w:t>Municipal</w:t>
            </w:r>
            <w:r w:rsidRPr="00B02403">
              <w:rPr>
                <w:rFonts w:ascii="Arial" w:hAnsi="Arial" w:cs="Arial"/>
              </w:rPr>
              <w:t xml:space="preserve"> gestionará ante el Gobierno</w:t>
            </w:r>
            <w:r w:rsidR="00863854" w:rsidRPr="00B02403">
              <w:rPr>
                <w:rFonts w:ascii="Arial" w:hAnsi="Arial" w:cs="Arial"/>
              </w:rPr>
              <w:t xml:space="preserve"> Estatal y</w:t>
            </w:r>
            <w:r w:rsidRPr="00B02403">
              <w:rPr>
                <w:rFonts w:ascii="Arial" w:hAnsi="Arial" w:cs="Arial"/>
              </w:rPr>
              <w:t xml:space="preserve"> Federal la publicación de la Declaratoria de Desastre Natural para efectos de contar con los recursos correspondientes del FONDEN.</w:t>
            </w:r>
          </w:p>
        </w:tc>
      </w:tr>
      <w:tr w:rsidR="0025346F" w14:paraId="29119926" w14:textId="77777777" w:rsidTr="0025346F">
        <w:tc>
          <w:tcPr>
            <w:tcW w:w="4414" w:type="dxa"/>
          </w:tcPr>
          <w:p w14:paraId="021FEEB0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11C39D65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1A477A32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17559F77" w14:textId="1879F8B8" w:rsidR="0025346F" w:rsidRPr="00FD226A" w:rsidRDefault="006C07F3" w:rsidP="00B0240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226A">
              <w:rPr>
                <w:rFonts w:ascii="Arial" w:hAnsi="Arial" w:cs="Arial"/>
                <w:b/>
                <w:bCs/>
              </w:rPr>
              <w:t>Deuda Pública</w:t>
            </w:r>
          </w:p>
        </w:tc>
        <w:tc>
          <w:tcPr>
            <w:tcW w:w="4414" w:type="dxa"/>
          </w:tcPr>
          <w:p w14:paraId="4AD35931" w14:textId="0D36B854" w:rsidR="0025346F" w:rsidRDefault="006C07F3" w:rsidP="00B0240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C07F3">
              <w:rPr>
                <w:rFonts w:ascii="Arial" w:hAnsi="Arial" w:cs="Arial"/>
              </w:rPr>
              <w:t>La</w:t>
            </w:r>
            <w:r w:rsidRPr="006C07F3">
              <w:rPr>
                <w:rFonts w:ascii="Arial" w:hAnsi="Arial" w:cs="Arial"/>
              </w:rPr>
              <w:tab/>
              <w:t>contratación</w:t>
            </w:r>
            <w:r w:rsidRPr="006C07F3">
              <w:rPr>
                <w:rFonts w:ascii="Arial" w:hAnsi="Arial" w:cs="Arial"/>
              </w:rPr>
              <w:tab/>
              <w:t>de</w:t>
            </w:r>
            <w:r w:rsidR="00863854">
              <w:rPr>
                <w:rFonts w:ascii="Arial" w:hAnsi="Arial" w:cs="Arial"/>
              </w:rPr>
              <w:t xml:space="preserve"> </w:t>
            </w:r>
            <w:r w:rsidRPr="006C07F3">
              <w:rPr>
                <w:rFonts w:ascii="Arial" w:hAnsi="Arial" w:cs="Arial"/>
              </w:rPr>
              <w:t>Financiamientos</w:t>
            </w:r>
            <w:r w:rsidR="00863854">
              <w:rPr>
                <w:rFonts w:ascii="Arial" w:hAnsi="Arial" w:cs="Arial"/>
              </w:rPr>
              <w:t xml:space="preserve"> </w:t>
            </w:r>
            <w:r w:rsidRPr="006C07F3">
              <w:rPr>
                <w:rFonts w:ascii="Arial" w:hAnsi="Arial" w:cs="Arial"/>
              </w:rPr>
              <w:t>y</w:t>
            </w:r>
            <w:r w:rsidR="00863854">
              <w:rPr>
                <w:rFonts w:ascii="Arial" w:hAnsi="Arial" w:cs="Arial"/>
              </w:rPr>
              <w:t xml:space="preserve"> </w:t>
            </w:r>
            <w:r w:rsidRPr="006C07F3">
              <w:rPr>
                <w:rFonts w:ascii="Arial" w:hAnsi="Arial" w:cs="Arial"/>
              </w:rPr>
              <w:t>Obligaciones, estará sujeta a lo establecido en el Titulo Tercero “De la Deuda Pública y</w:t>
            </w:r>
            <w:r>
              <w:rPr>
                <w:rFonts w:ascii="Arial" w:hAnsi="Arial" w:cs="Arial"/>
              </w:rPr>
              <w:t xml:space="preserve"> </w:t>
            </w:r>
            <w:r w:rsidRPr="006C07F3">
              <w:rPr>
                <w:rFonts w:ascii="Arial" w:hAnsi="Arial" w:cs="Arial"/>
              </w:rPr>
              <w:t>las Obligaciones” de la Ley de Disciplina</w:t>
            </w:r>
            <w:r w:rsidR="00863854">
              <w:rPr>
                <w:rFonts w:ascii="Arial" w:hAnsi="Arial" w:cs="Arial"/>
              </w:rPr>
              <w:t xml:space="preserve"> </w:t>
            </w:r>
            <w:r w:rsidRPr="006C07F3">
              <w:rPr>
                <w:rFonts w:ascii="Arial" w:hAnsi="Arial" w:cs="Arial"/>
              </w:rPr>
              <w:t>Financiera de las Entidades Federativas y los Municipios. Mismo que se asignará en los destinos señalados por dicha Ley.</w:t>
            </w:r>
          </w:p>
        </w:tc>
      </w:tr>
      <w:tr w:rsidR="0025346F" w14:paraId="2C825EE3" w14:textId="77777777" w:rsidTr="0025346F">
        <w:tc>
          <w:tcPr>
            <w:tcW w:w="4414" w:type="dxa"/>
          </w:tcPr>
          <w:p w14:paraId="60000495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108442EA" w14:textId="77777777" w:rsidR="00B02403" w:rsidRDefault="00B02403" w:rsidP="00B02403">
            <w:pPr>
              <w:jc w:val="center"/>
              <w:rPr>
                <w:rFonts w:ascii="Arial" w:hAnsi="Arial" w:cs="Arial"/>
              </w:rPr>
            </w:pPr>
          </w:p>
          <w:p w14:paraId="227A4561" w14:textId="7BBCAEA1" w:rsidR="0025346F" w:rsidRPr="00FD226A" w:rsidRDefault="006C07F3" w:rsidP="00B0240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226A">
              <w:rPr>
                <w:rFonts w:ascii="Arial" w:hAnsi="Arial" w:cs="Arial"/>
                <w:b/>
                <w:bCs/>
              </w:rPr>
              <w:t>Riesgos de Salud</w:t>
            </w:r>
          </w:p>
          <w:p w14:paraId="232D134F" w14:textId="0176768B" w:rsidR="00863854" w:rsidRDefault="00863854" w:rsidP="00B0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134A82A3" w14:textId="53F3E96B" w:rsidR="0025346F" w:rsidRDefault="00B02403" w:rsidP="00B0240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6C07F3">
              <w:rPr>
                <w:rFonts w:ascii="Arial" w:hAnsi="Arial" w:cs="Arial"/>
              </w:rPr>
              <w:t>espondiendo</w:t>
            </w:r>
            <w:r w:rsidR="006C07F3" w:rsidRPr="006C07F3">
              <w:rPr>
                <w:rFonts w:ascii="Arial" w:hAnsi="Arial" w:cs="Arial"/>
              </w:rPr>
              <w:t xml:space="preserve"> activamente ante emergencias médicas y/o epidemiológicas que atenten contra la salud de la población, principalmente de los grupos con mayor vulnerabilidad como: la niñez</w:t>
            </w:r>
            <w:r w:rsidR="00863854">
              <w:rPr>
                <w:rFonts w:ascii="Arial" w:hAnsi="Arial" w:cs="Arial"/>
              </w:rPr>
              <w:t xml:space="preserve"> </w:t>
            </w:r>
            <w:r w:rsidR="006C07F3" w:rsidRPr="006C07F3">
              <w:rPr>
                <w:rFonts w:ascii="Arial" w:hAnsi="Arial" w:cs="Arial"/>
              </w:rPr>
              <w:t>y los adultos mayores.</w:t>
            </w:r>
          </w:p>
        </w:tc>
      </w:tr>
    </w:tbl>
    <w:p w14:paraId="24D7305E" w14:textId="77777777" w:rsidR="0025346F" w:rsidRPr="0025346F" w:rsidRDefault="0025346F" w:rsidP="00BA4BDD">
      <w:pPr>
        <w:rPr>
          <w:rFonts w:ascii="Arial" w:hAnsi="Arial" w:cs="Arial"/>
        </w:rPr>
      </w:pPr>
    </w:p>
    <w:sectPr w:rsidR="0025346F" w:rsidRPr="0025346F" w:rsidSect="00EB056D">
      <w:headerReference w:type="default" r:id="rId6"/>
      <w:footerReference w:type="default" r:id="rId7"/>
      <w:pgSz w:w="12240" w:h="15840"/>
      <w:pgMar w:top="1417" w:right="1701" w:bottom="1417" w:left="1701" w:header="39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5DA43" w14:textId="77777777" w:rsidR="000E7B46" w:rsidRDefault="000E7B46" w:rsidP="00BA4BDD">
      <w:pPr>
        <w:spacing w:after="0" w:line="240" w:lineRule="auto"/>
      </w:pPr>
      <w:r>
        <w:separator/>
      </w:r>
    </w:p>
  </w:endnote>
  <w:endnote w:type="continuationSeparator" w:id="0">
    <w:p w14:paraId="48B7AD24" w14:textId="77777777" w:rsidR="000E7B46" w:rsidRDefault="000E7B46" w:rsidP="00BA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eXGyreSchola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4AAC2" w14:textId="2E75CC02" w:rsidR="00FD226A" w:rsidRDefault="00FD226A">
    <w:pPr>
      <w:tabs>
        <w:tab w:val="center" w:pos="4550"/>
        <w:tab w:val="left" w:pos="5818"/>
      </w:tabs>
      <w:ind w:right="260"/>
      <w:jc w:val="right"/>
      <w:rPr>
        <w:color w:val="8496B0" w:themeColor="text2" w:themeTint="99"/>
        <w:spacing w:val="60"/>
        <w:sz w:val="18"/>
        <w:szCs w:val="18"/>
        <w:lang w:val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A99E70" wp14:editId="7639EFA6">
              <wp:simplePos x="0" y="0"/>
              <wp:positionH relativeFrom="page">
                <wp:align>right</wp:align>
              </wp:positionH>
              <wp:positionV relativeFrom="paragraph">
                <wp:posOffset>170815</wp:posOffset>
              </wp:positionV>
              <wp:extent cx="7753350" cy="45719"/>
              <wp:effectExtent l="0" t="0" r="19050" b="12065"/>
              <wp:wrapNone/>
              <wp:docPr id="3" name="Rectá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45719"/>
                      </a:xfrm>
                      <a:prstGeom prst="rect">
                        <a:avLst/>
                      </a:prstGeom>
                      <a:solidFill>
                        <a:srgbClr val="E7E6E6">
                          <a:lumMod val="75000"/>
                        </a:srgbClr>
                      </a:solidFill>
                      <a:ln w="19050" cap="flat" cmpd="sng" algn="ctr">
                        <a:solidFill>
                          <a:srgbClr val="4472C4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323C69" id="Rectángulo 3" o:spid="_x0000_s1026" style="position:absolute;margin-left:559.3pt;margin-top:13.45pt;width:610.5pt;height:3.6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" fillcolor="#afabab" strokecolor="#203864" strokeweight="1.5pt">
              <w10:wrap anchorx="page"/>
            </v:rect>
          </w:pict>
        </mc:Fallback>
      </mc:AlternateContent>
    </w:r>
  </w:p>
  <w:p w14:paraId="48D3EA34" w14:textId="00DCB76F" w:rsidR="00FD226A" w:rsidRPr="00FD226A" w:rsidRDefault="00FD226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8"/>
        <w:szCs w:val="18"/>
      </w:rPr>
    </w:pPr>
    <w:r w:rsidRPr="00FD226A">
      <w:rPr>
        <w:color w:val="8496B0" w:themeColor="text2" w:themeTint="99"/>
        <w:spacing w:val="60"/>
        <w:sz w:val="18"/>
        <w:szCs w:val="18"/>
        <w:lang w:val="es-ES"/>
      </w:rPr>
      <w:t>Página</w:t>
    </w:r>
    <w:r w:rsidRPr="00FD226A">
      <w:rPr>
        <w:color w:val="8496B0" w:themeColor="text2" w:themeTint="99"/>
        <w:sz w:val="18"/>
        <w:szCs w:val="18"/>
        <w:lang w:val="es-ES"/>
      </w:rPr>
      <w:t xml:space="preserve"> </w:t>
    </w:r>
    <w:r w:rsidRPr="00FD226A">
      <w:rPr>
        <w:color w:val="323E4F" w:themeColor="text2" w:themeShade="BF"/>
        <w:sz w:val="18"/>
        <w:szCs w:val="18"/>
      </w:rPr>
      <w:fldChar w:fldCharType="begin"/>
    </w:r>
    <w:r w:rsidRPr="00FD226A">
      <w:rPr>
        <w:color w:val="323E4F" w:themeColor="text2" w:themeShade="BF"/>
        <w:sz w:val="18"/>
        <w:szCs w:val="18"/>
      </w:rPr>
      <w:instrText>PAGE   \* MERGEFORMAT</w:instrText>
    </w:r>
    <w:r w:rsidRPr="00FD226A">
      <w:rPr>
        <w:color w:val="323E4F" w:themeColor="text2" w:themeShade="BF"/>
        <w:sz w:val="18"/>
        <w:szCs w:val="18"/>
      </w:rPr>
      <w:fldChar w:fldCharType="separate"/>
    </w:r>
    <w:r w:rsidRPr="00FD226A">
      <w:rPr>
        <w:color w:val="323E4F" w:themeColor="text2" w:themeShade="BF"/>
        <w:sz w:val="18"/>
        <w:szCs w:val="18"/>
        <w:lang w:val="es-ES"/>
      </w:rPr>
      <w:t>1</w:t>
    </w:r>
    <w:r w:rsidRPr="00FD226A">
      <w:rPr>
        <w:color w:val="323E4F" w:themeColor="text2" w:themeShade="BF"/>
        <w:sz w:val="18"/>
        <w:szCs w:val="18"/>
      </w:rPr>
      <w:fldChar w:fldCharType="end"/>
    </w:r>
    <w:r w:rsidRPr="00FD226A">
      <w:rPr>
        <w:color w:val="323E4F" w:themeColor="text2" w:themeShade="BF"/>
        <w:sz w:val="18"/>
        <w:szCs w:val="18"/>
        <w:lang w:val="es-ES"/>
      </w:rPr>
      <w:t xml:space="preserve"> | </w:t>
    </w:r>
    <w:r w:rsidRPr="00FD226A">
      <w:rPr>
        <w:color w:val="323E4F" w:themeColor="text2" w:themeShade="BF"/>
        <w:sz w:val="18"/>
        <w:szCs w:val="18"/>
      </w:rPr>
      <w:fldChar w:fldCharType="begin"/>
    </w:r>
    <w:r w:rsidRPr="00FD226A">
      <w:rPr>
        <w:color w:val="323E4F" w:themeColor="text2" w:themeShade="BF"/>
        <w:sz w:val="18"/>
        <w:szCs w:val="18"/>
      </w:rPr>
      <w:instrText>NUMPAGES  \* Arabic  \* MERGEFORMAT</w:instrText>
    </w:r>
    <w:r w:rsidRPr="00FD226A">
      <w:rPr>
        <w:color w:val="323E4F" w:themeColor="text2" w:themeShade="BF"/>
        <w:sz w:val="18"/>
        <w:szCs w:val="18"/>
      </w:rPr>
      <w:fldChar w:fldCharType="separate"/>
    </w:r>
    <w:r w:rsidRPr="00FD226A">
      <w:rPr>
        <w:color w:val="323E4F" w:themeColor="text2" w:themeShade="BF"/>
        <w:sz w:val="18"/>
        <w:szCs w:val="18"/>
        <w:lang w:val="es-ES"/>
      </w:rPr>
      <w:t>1</w:t>
    </w:r>
    <w:r w:rsidRPr="00FD226A">
      <w:rPr>
        <w:color w:val="323E4F" w:themeColor="text2" w:themeShade="BF"/>
        <w:sz w:val="18"/>
        <w:szCs w:val="18"/>
      </w:rPr>
      <w:fldChar w:fldCharType="end"/>
    </w:r>
  </w:p>
  <w:p w14:paraId="30EE7581" w14:textId="2456D341" w:rsidR="00FD226A" w:rsidRDefault="00FD226A" w:rsidP="00FD226A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E5648" w14:textId="77777777" w:rsidR="000E7B46" w:rsidRDefault="000E7B46" w:rsidP="00BA4BDD">
      <w:pPr>
        <w:spacing w:after="0" w:line="240" w:lineRule="auto"/>
      </w:pPr>
      <w:r>
        <w:separator/>
      </w:r>
    </w:p>
  </w:footnote>
  <w:footnote w:type="continuationSeparator" w:id="0">
    <w:p w14:paraId="3210703F" w14:textId="77777777" w:rsidR="000E7B46" w:rsidRDefault="000E7B46" w:rsidP="00BA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0697C" w14:textId="6DB9AB9E" w:rsidR="00BA4BDD" w:rsidRDefault="009E41E9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DBDB1C" wp14:editId="252BDA1F">
          <wp:simplePos x="0" y="0"/>
          <wp:positionH relativeFrom="margin">
            <wp:align>left</wp:align>
          </wp:positionH>
          <wp:positionV relativeFrom="paragraph">
            <wp:posOffset>-30480</wp:posOffset>
          </wp:positionV>
          <wp:extent cx="1593215" cy="438150"/>
          <wp:effectExtent l="0" t="0" r="6985" b="0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OBIERNO-MUNICIPAL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2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21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346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7A741F" wp14:editId="21F7A453">
              <wp:simplePos x="0" y="0"/>
              <wp:positionH relativeFrom="page">
                <wp:align>left</wp:align>
              </wp:positionH>
              <wp:positionV relativeFrom="paragraph">
                <wp:posOffset>455295</wp:posOffset>
              </wp:positionV>
              <wp:extent cx="7753350" cy="45719"/>
              <wp:effectExtent l="0" t="0" r="19050" b="12065"/>
              <wp:wrapNone/>
              <wp:docPr id="16" name="Rectángu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45719"/>
                      </a:xfrm>
                      <a:prstGeom prst="rect">
                        <a:avLst/>
                      </a:prstGeom>
                      <a:solidFill>
                        <a:schemeClr val="bg2">
                          <a:lumMod val="75000"/>
                        </a:schemeClr>
                      </a:solidFill>
                      <a:ln w="19050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2B00AC" id="Rectángulo 16" o:spid="_x0000_s1026" style="position:absolute;margin-left:0;margin-top:35.85pt;width:610.5pt;height:3.6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" fillcolor="#aeaaaa [2414]" strokecolor="#1f3763 [1604]" strokeweight="1.5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DD"/>
    <w:rsid w:val="000D1B9A"/>
    <w:rsid w:val="000E7B46"/>
    <w:rsid w:val="0025346F"/>
    <w:rsid w:val="00312D99"/>
    <w:rsid w:val="003F385C"/>
    <w:rsid w:val="004A79C3"/>
    <w:rsid w:val="006C07F3"/>
    <w:rsid w:val="0078679B"/>
    <w:rsid w:val="00863854"/>
    <w:rsid w:val="008878D9"/>
    <w:rsid w:val="00935A39"/>
    <w:rsid w:val="009E41E9"/>
    <w:rsid w:val="009F49B1"/>
    <w:rsid w:val="00A018F7"/>
    <w:rsid w:val="00B02403"/>
    <w:rsid w:val="00BA4BDD"/>
    <w:rsid w:val="00CA0254"/>
    <w:rsid w:val="00CA6CF7"/>
    <w:rsid w:val="00E01D5E"/>
    <w:rsid w:val="00EB056D"/>
    <w:rsid w:val="00F478CA"/>
    <w:rsid w:val="00FB6510"/>
    <w:rsid w:val="00FD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83831"/>
  <w15:chartTrackingRefBased/>
  <w15:docId w15:val="{3FAA7B4F-06AB-4173-8D8A-8689D8FF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A4B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4BDD"/>
  </w:style>
  <w:style w:type="paragraph" w:styleId="Piedepgina">
    <w:name w:val="footer"/>
    <w:basedOn w:val="Normal"/>
    <w:link w:val="PiedepginaCar"/>
    <w:uiPriority w:val="99"/>
    <w:unhideWhenUsed/>
    <w:rsid w:val="00BA4B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4BDD"/>
  </w:style>
  <w:style w:type="table" w:customStyle="1" w:styleId="TableNormal">
    <w:name w:val="Table Normal"/>
    <w:uiPriority w:val="2"/>
    <w:semiHidden/>
    <w:unhideWhenUsed/>
    <w:qFormat/>
    <w:rsid w:val="00BA4B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4BDD"/>
    <w:pPr>
      <w:widowControl w:val="0"/>
      <w:autoSpaceDE w:val="0"/>
      <w:autoSpaceDN w:val="0"/>
      <w:spacing w:after="0" w:line="240" w:lineRule="auto"/>
    </w:pPr>
    <w:rPr>
      <w:rFonts w:ascii="TeXGyreSchola" w:eastAsia="TeXGyreSchola" w:hAnsi="TeXGyreSchola" w:cs="TeXGyreSchola"/>
      <w:lang w:val="es-ES"/>
    </w:rPr>
  </w:style>
  <w:style w:type="table" w:styleId="Tablaconcuadrcula">
    <w:name w:val="Table Grid"/>
    <w:basedOn w:val="Tablanormal"/>
    <w:uiPriority w:val="39"/>
    <w:rsid w:val="0025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18</cp:revision>
  <dcterms:created xsi:type="dcterms:W3CDTF">2020-10-21T19:40:00Z</dcterms:created>
  <dcterms:modified xsi:type="dcterms:W3CDTF">2021-10-13T16:02:00Z</dcterms:modified>
</cp:coreProperties>
</file>