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8FD" w:rsidRPr="003C4025" w:rsidRDefault="00B558FD" w:rsidP="00B558FD">
      <w:pPr>
        <w:shd w:val="clear" w:color="auto" w:fill="FFFFFF"/>
        <w:spacing w:after="0"/>
        <w:jc w:val="both"/>
        <w:rPr>
          <w:rFonts w:ascii="Arial" w:eastAsia="Times New Roman" w:hAnsi="Arial" w:cs="Arial"/>
          <w:b/>
          <w:sz w:val="20"/>
          <w:szCs w:val="24"/>
        </w:rPr>
      </w:pPr>
      <w:r w:rsidRPr="003C4025">
        <w:rPr>
          <w:rFonts w:ascii="Arial" w:eastAsia="Times New Roman" w:hAnsi="Arial" w:cs="Arial"/>
          <w:b/>
          <w:sz w:val="20"/>
          <w:szCs w:val="24"/>
        </w:rPr>
        <w:t>Descripción de los riesgos relevantes para las finanzas públicas, incluyendo montos de deuda contingente, acompañados de propuestas de acción para enfrentarlos.</w:t>
      </w:r>
    </w:p>
    <w:p w:rsidR="00B558FD" w:rsidRPr="003C4025" w:rsidRDefault="00B558FD" w:rsidP="00B558FD">
      <w:pPr>
        <w:shd w:val="clear" w:color="auto" w:fill="FFFFFF"/>
        <w:spacing w:after="0"/>
        <w:jc w:val="both"/>
        <w:rPr>
          <w:rFonts w:ascii="Arial" w:eastAsia="Times New Roman" w:hAnsi="Arial" w:cs="Arial"/>
          <w:sz w:val="20"/>
          <w:szCs w:val="24"/>
        </w:rPr>
      </w:pPr>
    </w:p>
    <w:p w:rsidR="00B558FD" w:rsidRPr="005E6E56" w:rsidRDefault="00B558FD" w:rsidP="00B558FD">
      <w:pPr>
        <w:shd w:val="clear" w:color="auto" w:fill="FFFFFF"/>
        <w:spacing w:after="0"/>
        <w:jc w:val="both"/>
        <w:rPr>
          <w:rFonts w:ascii="Arial" w:eastAsia="Times New Roman" w:hAnsi="Arial" w:cs="Arial"/>
          <w:b/>
          <w:color w:val="365F91" w:themeColor="accent1" w:themeShade="BF"/>
          <w:sz w:val="20"/>
          <w:szCs w:val="24"/>
        </w:rPr>
      </w:pPr>
      <w:r w:rsidRPr="005E6E56">
        <w:rPr>
          <w:rFonts w:ascii="Arial" w:eastAsia="Times New Roman" w:hAnsi="Arial" w:cs="Arial"/>
          <w:b/>
          <w:color w:val="365F91" w:themeColor="accent1" w:themeShade="BF"/>
          <w:sz w:val="20"/>
          <w:szCs w:val="24"/>
        </w:rPr>
        <w:t>Riesgos relevantes:</w:t>
      </w:r>
    </w:p>
    <w:p w:rsidR="00B558FD" w:rsidRPr="005E6E56" w:rsidRDefault="00B558FD" w:rsidP="00B558FD">
      <w:pPr>
        <w:shd w:val="clear" w:color="auto" w:fill="FFFFFF"/>
        <w:spacing w:after="0"/>
        <w:jc w:val="both"/>
        <w:rPr>
          <w:rFonts w:ascii="Arial" w:eastAsia="Times New Roman" w:hAnsi="Arial" w:cs="Arial"/>
          <w:color w:val="365F91" w:themeColor="accent1" w:themeShade="BF"/>
          <w:sz w:val="20"/>
          <w:szCs w:val="24"/>
        </w:rPr>
      </w:pPr>
    </w:p>
    <w:p w:rsidR="00B558FD" w:rsidRPr="005E6E56" w:rsidRDefault="00B558FD" w:rsidP="00B558FD">
      <w:pPr>
        <w:shd w:val="clear" w:color="auto" w:fill="FFFFFF"/>
        <w:spacing w:after="0"/>
        <w:jc w:val="both"/>
        <w:rPr>
          <w:rFonts w:ascii="Arial" w:hAnsi="Arial" w:cs="Arial"/>
          <w:color w:val="365F91" w:themeColor="accent1" w:themeShade="BF"/>
          <w:sz w:val="20"/>
          <w:szCs w:val="24"/>
        </w:rPr>
      </w:pPr>
      <w:r w:rsidRPr="005E6E56">
        <w:rPr>
          <w:rFonts w:ascii="Arial" w:eastAsia="Times New Roman" w:hAnsi="Arial" w:cs="Arial"/>
          <w:color w:val="365F91" w:themeColor="accent1" w:themeShade="BF"/>
          <w:sz w:val="20"/>
          <w:szCs w:val="24"/>
        </w:rPr>
        <w:t xml:space="preserve">En cumplimiento con lo dispuesto por </w:t>
      </w:r>
      <w:r w:rsidRPr="005E6E56">
        <w:rPr>
          <w:rFonts w:ascii="Arial" w:hAnsi="Arial" w:cs="Arial"/>
          <w:color w:val="365F91" w:themeColor="accent1" w:themeShade="BF"/>
          <w:sz w:val="20"/>
          <w:szCs w:val="24"/>
        </w:rPr>
        <w:t xml:space="preserve">y los Municipios, se describen los riesgos relevantes para las finanzas públicas municipales. </w:t>
      </w:r>
    </w:p>
    <w:p w:rsidR="00B558FD" w:rsidRPr="005E6E56" w:rsidRDefault="00B558FD" w:rsidP="00B558FD">
      <w:pPr>
        <w:shd w:val="clear" w:color="auto" w:fill="FFFFFF"/>
        <w:spacing w:after="0"/>
        <w:jc w:val="both"/>
        <w:rPr>
          <w:rFonts w:ascii="Arial" w:hAnsi="Arial" w:cs="Arial"/>
          <w:color w:val="365F91" w:themeColor="accent1" w:themeShade="BF"/>
          <w:sz w:val="20"/>
          <w:szCs w:val="24"/>
        </w:rPr>
      </w:pPr>
    </w:p>
    <w:p w:rsidR="00B558FD" w:rsidRPr="005E6E56" w:rsidRDefault="00B558FD" w:rsidP="00B558FD">
      <w:pPr>
        <w:pStyle w:val="Prrafodelista"/>
        <w:numPr>
          <w:ilvl w:val="0"/>
          <w:numId w:val="1"/>
        </w:numPr>
        <w:shd w:val="clear" w:color="auto" w:fill="FFFFFF"/>
        <w:spacing w:after="50"/>
        <w:jc w:val="both"/>
        <w:rPr>
          <w:rFonts w:ascii="Arial" w:eastAsia="Times New Roman" w:hAnsi="Arial" w:cs="Arial"/>
          <w:b/>
          <w:color w:val="365F91" w:themeColor="accent1" w:themeShade="BF"/>
          <w:sz w:val="20"/>
          <w:szCs w:val="24"/>
        </w:rPr>
      </w:pPr>
      <w:r w:rsidRPr="005E6E56">
        <w:rPr>
          <w:rFonts w:ascii="Arial" w:eastAsia="Times New Roman" w:hAnsi="Arial" w:cs="Arial"/>
          <w:color w:val="365F91" w:themeColor="accent1" w:themeShade="BF"/>
          <w:sz w:val="20"/>
          <w:szCs w:val="24"/>
        </w:rPr>
        <w:t>Derivado</w:t>
      </w:r>
      <w:r w:rsidR="007656DA" w:rsidRPr="005E6E56">
        <w:rPr>
          <w:rFonts w:ascii="Arial" w:eastAsia="Times New Roman" w:hAnsi="Arial" w:cs="Arial"/>
          <w:color w:val="365F91" w:themeColor="accent1" w:themeShade="BF"/>
          <w:sz w:val="20"/>
          <w:szCs w:val="24"/>
        </w:rPr>
        <w:t xml:space="preserve"> </w:t>
      </w:r>
      <w:r w:rsidR="008006D0" w:rsidRPr="005E6E56">
        <w:rPr>
          <w:rFonts w:ascii="Arial" w:eastAsia="Times New Roman" w:hAnsi="Arial" w:cs="Arial"/>
          <w:color w:val="365F91" w:themeColor="accent1" w:themeShade="BF"/>
          <w:sz w:val="20"/>
          <w:szCs w:val="24"/>
        </w:rPr>
        <w:t xml:space="preserve">del lento proceso de reactivación de la economía, aunado al </w:t>
      </w:r>
      <w:r w:rsidR="007656DA" w:rsidRPr="005E6E56">
        <w:rPr>
          <w:rFonts w:ascii="Arial" w:eastAsia="Times New Roman" w:hAnsi="Arial" w:cs="Arial"/>
          <w:color w:val="365F91" w:themeColor="accent1" w:themeShade="BF"/>
          <w:sz w:val="20"/>
          <w:szCs w:val="24"/>
        </w:rPr>
        <w:t>periodo de estanflación que actualmente enfrenta el país,</w:t>
      </w:r>
      <w:r w:rsidRPr="005E6E56">
        <w:rPr>
          <w:rFonts w:ascii="Arial" w:eastAsia="Times New Roman" w:hAnsi="Arial" w:cs="Arial"/>
          <w:color w:val="365F91" w:themeColor="accent1" w:themeShade="BF"/>
          <w:sz w:val="20"/>
          <w:szCs w:val="24"/>
        </w:rPr>
        <w:t xml:space="preserve"> se considera como riesgo </w:t>
      </w:r>
      <w:r w:rsidR="008006D0" w:rsidRPr="005E6E56">
        <w:rPr>
          <w:rFonts w:ascii="Arial" w:eastAsia="Times New Roman" w:hAnsi="Arial" w:cs="Arial"/>
          <w:color w:val="365F91" w:themeColor="accent1" w:themeShade="BF"/>
          <w:sz w:val="20"/>
          <w:szCs w:val="24"/>
        </w:rPr>
        <w:t xml:space="preserve">para una </w:t>
      </w:r>
      <w:r w:rsidR="007656DA" w:rsidRPr="005E6E56">
        <w:rPr>
          <w:rFonts w:ascii="Arial" w:eastAsia="Times New Roman" w:hAnsi="Arial" w:cs="Arial"/>
          <w:color w:val="365F91" w:themeColor="accent1" w:themeShade="BF"/>
          <w:sz w:val="20"/>
          <w:szCs w:val="24"/>
        </w:rPr>
        <w:t>disminución</w:t>
      </w:r>
      <w:r w:rsidRPr="005E6E56">
        <w:rPr>
          <w:rFonts w:ascii="Arial" w:eastAsia="Times New Roman" w:hAnsi="Arial" w:cs="Arial"/>
          <w:color w:val="365F91" w:themeColor="accent1" w:themeShade="BF"/>
          <w:sz w:val="20"/>
          <w:szCs w:val="24"/>
        </w:rPr>
        <w:t xml:space="preserve"> en la recaudación de ingresos propios.</w:t>
      </w:r>
    </w:p>
    <w:p w:rsidR="006E0298" w:rsidRPr="00A070F1" w:rsidRDefault="005E6E56" w:rsidP="00B558FD">
      <w:pPr>
        <w:pStyle w:val="Prrafodelista"/>
        <w:numPr>
          <w:ilvl w:val="0"/>
          <w:numId w:val="1"/>
        </w:numPr>
        <w:shd w:val="clear" w:color="auto" w:fill="FFFFFF"/>
        <w:spacing w:after="50"/>
        <w:jc w:val="both"/>
        <w:rPr>
          <w:rFonts w:ascii="Arial" w:eastAsia="Times New Roman" w:hAnsi="Arial" w:cs="Arial"/>
          <w:b/>
          <w:color w:val="365F91" w:themeColor="accent1" w:themeShade="BF"/>
          <w:sz w:val="20"/>
          <w:szCs w:val="24"/>
        </w:rPr>
      </w:pPr>
      <w:r w:rsidRPr="005E6E56">
        <w:rPr>
          <w:rFonts w:ascii="Arial" w:hAnsi="Arial" w:cs="Arial"/>
          <w:color w:val="365F91" w:themeColor="accent1" w:themeShade="BF"/>
          <w:sz w:val="20"/>
          <w:szCs w:val="24"/>
        </w:rPr>
        <w:t>Los efectos del cambio climático han</w:t>
      </w:r>
      <w:r w:rsidR="006E0298" w:rsidRPr="005E6E56">
        <w:rPr>
          <w:rFonts w:ascii="Arial" w:hAnsi="Arial" w:cs="Arial"/>
          <w:color w:val="365F91" w:themeColor="accent1" w:themeShade="BF"/>
          <w:sz w:val="20"/>
          <w:szCs w:val="24"/>
        </w:rPr>
        <w:t xml:space="preserve"> generado contingencias climáticas como lo son inundaciones, sequías, heladas, representan un riesgo en la recaudación.</w:t>
      </w:r>
    </w:p>
    <w:p w:rsidR="00A070F1" w:rsidRPr="005E6E56" w:rsidRDefault="00A070F1" w:rsidP="00B558FD">
      <w:pPr>
        <w:pStyle w:val="Prrafodelista"/>
        <w:numPr>
          <w:ilvl w:val="0"/>
          <w:numId w:val="1"/>
        </w:numPr>
        <w:shd w:val="clear" w:color="auto" w:fill="FFFFFF"/>
        <w:spacing w:after="50"/>
        <w:jc w:val="both"/>
        <w:rPr>
          <w:rFonts w:ascii="Arial" w:eastAsia="Times New Roman" w:hAnsi="Arial" w:cs="Arial"/>
          <w:b/>
          <w:color w:val="365F91" w:themeColor="accent1" w:themeShade="BF"/>
          <w:sz w:val="20"/>
          <w:szCs w:val="24"/>
        </w:rPr>
      </w:pPr>
      <w:r>
        <w:rPr>
          <w:rFonts w:ascii="Arial" w:eastAsia="Times New Roman" w:hAnsi="Arial" w:cs="Arial"/>
          <w:b/>
          <w:color w:val="365F91" w:themeColor="accent1" w:themeShade="BF"/>
          <w:sz w:val="20"/>
          <w:szCs w:val="24"/>
        </w:rPr>
        <w:t xml:space="preserve">La contingencia sanitaria provocada por el </w:t>
      </w:r>
      <w:r w:rsidRPr="00A070F1">
        <w:rPr>
          <w:rFonts w:ascii="Arial" w:eastAsia="Times New Roman" w:hAnsi="Arial" w:cs="Arial"/>
          <w:b/>
          <w:color w:val="365F91" w:themeColor="accent1" w:themeShade="BF"/>
          <w:sz w:val="20"/>
          <w:szCs w:val="24"/>
        </w:rPr>
        <w:t>VIRUS SARS-COV-2 (COVID-19)</w:t>
      </w:r>
      <w:r>
        <w:rPr>
          <w:rFonts w:ascii="Arial" w:eastAsia="Times New Roman" w:hAnsi="Arial" w:cs="Arial"/>
          <w:b/>
          <w:color w:val="365F91" w:themeColor="accent1" w:themeShade="BF"/>
          <w:sz w:val="20"/>
          <w:szCs w:val="24"/>
        </w:rPr>
        <w:t>, donde desde el año 2020,</w:t>
      </w:r>
      <w:bookmarkStart w:id="0" w:name="_GoBack"/>
      <w:bookmarkEnd w:id="0"/>
      <w:r>
        <w:rPr>
          <w:rFonts w:ascii="Arial" w:eastAsia="Times New Roman" w:hAnsi="Arial" w:cs="Arial"/>
          <w:b/>
          <w:color w:val="365F91" w:themeColor="accent1" w:themeShade="BF"/>
          <w:sz w:val="20"/>
          <w:szCs w:val="24"/>
        </w:rPr>
        <w:t xml:space="preserve"> ha afectado la economía de la ciudadanía y por ende los ingresos que percibe el municipio, por tal motivo y aun que sigue latente la pandemia los ingresos para el ejercicio fiscal 2022 se pueden ver afectados.  </w:t>
      </w:r>
    </w:p>
    <w:p w:rsidR="007656DA" w:rsidRPr="005E6E56" w:rsidRDefault="006E0298" w:rsidP="00B558FD">
      <w:pPr>
        <w:pStyle w:val="Prrafodelista"/>
        <w:numPr>
          <w:ilvl w:val="0"/>
          <w:numId w:val="1"/>
        </w:numPr>
        <w:shd w:val="clear" w:color="auto" w:fill="FFFFFF"/>
        <w:spacing w:after="50"/>
        <w:jc w:val="both"/>
        <w:rPr>
          <w:rFonts w:ascii="Arial" w:eastAsia="Times New Roman" w:hAnsi="Arial" w:cs="Arial"/>
          <w:b/>
          <w:color w:val="365F91" w:themeColor="accent1" w:themeShade="BF"/>
          <w:sz w:val="20"/>
          <w:szCs w:val="24"/>
        </w:rPr>
      </w:pPr>
      <w:r w:rsidRPr="005E6E56">
        <w:rPr>
          <w:rFonts w:ascii="Arial" w:eastAsia="Times New Roman" w:hAnsi="Arial" w:cs="Arial"/>
          <w:color w:val="365F91" w:themeColor="accent1" w:themeShade="BF"/>
          <w:sz w:val="20"/>
          <w:szCs w:val="24"/>
        </w:rPr>
        <w:t xml:space="preserve"> </w:t>
      </w:r>
      <w:r w:rsidR="007656DA" w:rsidRPr="005E6E56">
        <w:rPr>
          <w:rFonts w:ascii="Arial" w:eastAsia="Times New Roman" w:hAnsi="Arial" w:cs="Arial"/>
          <w:color w:val="365F91" w:themeColor="accent1" w:themeShade="BF"/>
          <w:sz w:val="20"/>
          <w:szCs w:val="24"/>
        </w:rPr>
        <w:t xml:space="preserve">La falta de liquidez </w:t>
      </w:r>
      <w:r w:rsidR="00593B5E" w:rsidRPr="005E6E56">
        <w:rPr>
          <w:rFonts w:ascii="Arial" w:eastAsia="Times New Roman" w:hAnsi="Arial" w:cs="Arial"/>
          <w:color w:val="365F91" w:themeColor="accent1" w:themeShade="BF"/>
          <w:sz w:val="20"/>
          <w:szCs w:val="24"/>
        </w:rPr>
        <w:t xml:space="preserve">por retraso en la recepción de las participaciones federales </w:t>
      </w:r>
      <w:r w:rsidR="007656DA" w:rsidRPr="005E6E56">
        <w:rPr>
          <w:rFonts w:ascii="Arial" w:eastAsia="Times New Roman" w:hAnsi="Arial" w:cs="Arial"/>
          <w:color w:val="365F91" w:themeColor="accent1" w:themeShade="BF"/>
          <w:sz w:val="20"/>
          <w:szCs w:val="24"/>
        </w:rPr>
        <w:t>para enfrentar los compromisos a corto plazo, influyen como factor de riego para el municipio.</w:t>
      </w:r>
    </w:p>
    <w:p w:rsidR="00B558FD" w:rsidRPr="005E6E56" w:rsidRDefault="006E0298" w:rsidP="00B558FD">
      <w:pPr>
        <w:pStyle w:val="Prrafodelista"/>
        <w:numPr>
          <w:ilvl w:val="0"/>
          <w:numId w:val="1"/>
        </w:numPr>
        <w:shd w:val="clear" w:color="auto" w:fill="FFFFFF"/>
        <w:spacing w:after="50"/>
        <w:jc w:val="both"/>
        <w:rPr>
          <w:rFonts w:ascii="Arial" w:eastAsia="Times New Roman" w:hAnsi="Arial" w:cs="Arial"/>
          <w:b/>
          <w:color w:val="365F91" w:themeColor="accent1" w:themeShade="BF"/>
          <w:sz w:val="20"/>
          <w:szCs w:val="24"/>
        </w:rPr>
      </w:pPr>
      <w:r w:rsidRPr="005E6E56">
        <w:rPr>
          <w:rFonts w:ascii="Arial" w:hAnsi="Arial" w:cs="Arial"/>
          <w:color w:val="365F91" w:themeColor="accent1" w:themeShade="BF"/>
          <w:sz w:val="20"/>
          <w:szCs w:val="24"/>
        </w:rPr>
        <w:t>El</w:t>
      </w:r>
      <w:r w:rsidR="008B0E90" w:rsidRPr="005E6E56">
        <w:rPr>
          <w:rFonts w:ascii="Arial" w:hAnsi="Arial" w:cs="Arial"/>
          <w:color w:val="365F91" w:themeColor="accent1" w:themeShade="BF"/>
          <w:sz w:val="20"/>
          <w:szCs w:val="24"/>
        </w:rPr>
        <w:t xml:space="preserve"> pago en una sola exhibición de los ingresos de libre disposición para</w:t>
      </w:r>
      <w:r w:rsidRPr="005E6E56">
        <w:rPr>
          <w:rFonts w:ascii="Arial" w:hAnsi="Arial" w:cs="Arial"/>
          <w:color w:val="365F91" w:themeColor="accent1" w:themeShade="BF"/>
          <w:sz w:val="20"/>
          <w:szCs w:val="24"/>
        </w:rPr>
        <w:t xml:space="preserve"> cumplimiento a la modificación a la Ley </w:t>
      </w:r>
      <w:r w:rsidR="005E6E56" w:rsidRPr="005E6E56">
        <w:rPr>
          <w:rFonts w:ascii="Arial" w:hAnsi="Arial" w:cs="Arial"/>
          <w:color w:val="365F91" w:themeColor="accent1" w:themeShade="BF"/>
          <w:sz w:val="20"/>
          <w:szCs w:val="24"/>
        </w:rPr>
        <w:t>de Presupuesto, Contabilidad y Gasto Público del Estado de Durango, relativo al 1% destinado a laudos laborales.</w:t>
      </w:r>
    </w:p>
    <w:p w:rsidR="00B558FD" w:rsidRPr="005E6E56" w:rsidRDefault="00B558FD" w:rsidP="00B558FD">
      <w:pPr>
        <w:pStyle w:val="Prrafodelista"/>
        <w:numPr>
          <w:ilvl w:val="0"/>
          <w:numId w:val="1"/>
        </w:numPr>
        <w:shd w:val="clear" w:color="auto" w:fill="FFFFFF"/>
        <w:spacing w:after="50"/>
        <w:jc w:val="both"/>
        <w:rPr>
          <w:rFonts w:ascii="Arial" w:eastAsia="Times New Roman" w:hAnsi="Arial" w:cs="Arial"/>
          <w:b/>
          <w:color w:val="365F91" w:themeColor="accent1" w:themeShade="BF"/>
          <w:sz w:val="20"/>
          <w:szCs w:val="24"/>
        </w:rPr>
      </w:pPr>
      <w:r w:rsidRPr="005E6E56">
        <w:rPr>
          <w:rFonts w:ascii="Arial" w:hAnsi="Arial" w:cs="Arial"/>
          <w:color w:val="365F91" w:themeColor="accent1" w:themeShade="BF"/>
          <w:sz w:val="20"/>
          <w:szCs w:val="24"/>
        </w:rPr>
        <w:t>La posible erogación para el cumplimiento de demandas pendientes de resolución.</w:t>
      </w:r>
    </w:p>
    <w:p w:rsidR="005E6E56" w:rsidRPr="005E6E56" w:rsidRDefault="005E6E56" w:rsidP="005E6E56">
      <w:pPr>
        <w:pStyle w:val="Prrafodelista"/>
        <w:numPr>
          <w:ilvl w:val="0"/>
          <w:numId w:val="1"/>
        </w:numPr>
        <w:shd w:val="clear" w:color="auto" w:fill="FFFFFF"/>
        <w:spacing w:after="50"/>
        <w:jc w:val="both"/>
        <w:rPr>
          <w:rFonts w:ascii="Arial" w:hAnsi="Arial" w:cs="Arial"/>
          <w:color w:val="365F91" w:themeColor="accent1" w:themeShade="BF"/>
          <w:sz w:val="20"/>
        </w:rPr>
      </w:pPr>
      <w:r w:rsidRPr="005E6E56">
        <w:rPr>
          <w:rFonts w:ascii="Arial" w:eastAsia="Times New Roman" w:hAnsi="Arial" w:cs="Arial"/>
          <w:color w:val="365F91" w:themeColor="accent1" w:themeShade="BF"/>
          <w:sz w:val="20"/>
          <w:szCs w:val="24"/>
        </w:rPr>
        <w:t>La correlación de las participaciones federales y la recaudación de ingreso</w:t>
      </w:r>
      <w:r w:rsidR="00244522">
        <w:rPr>
          <w:rFonts w:ascii="Arial" w:eastAsia="Times New Roman" w:hAnsi="Arial" w:cs="Arial"/>
          <w:color w:val="365F91" w:themeColor="accent1" w:themeShade="BF"/>
          <w:sz w:val="20"/>
          <w:szCs w:val="24"/>
        </w:rPr>
        <w:t xml:space="preserve"> por el Impuesto </w:t>
      </w:r>
      <w:r w:rsidRPr="005E6E56">
        <w:rPr>
          <w:rFonts w:ascii="Arial" w:eastAsia="Times New Roman" w:hAnsi="Arial" w:cs="Arial"/>
          <w:color w:val="365F91" w:themeColor="accent1" w:themeShade="BF"/>
          <w:sz w:val="20"/>
          <w:szCs w:val="24"/>
        </w:rPr>
        <w:t xml:space="preserve"> predial de acuerdo al Convenio de Coordinación Fiscal, pone en riesgo una disminución de los ingresos participables, al no aprobar la iniciativa de ingresos 2021  con los cambios en las tablas catastrales actualizadas</w:t>
      </w:r>
      <w:r w:rsidR="00244522">
        <w:rPr>
          <w:rFonts w:ascii="Arial" w:eastAsia="Times New Roman" w:hAnsi="Arial" w:cs="Arial"/>
          <w:color w:val="365F91" w:themeColor="accent1" w:themeShade="BF"/>
          <w:sz w:val="20"/>
          <w:szCs w:val="24"/>
        </w:rPr>
        <w:t xml:space="preserve">, adicional a que 2021 ha sido un año de reactivación económica parcial. </w:t>
      </w:r>
    </w:p>
    <w:p w:rsidR="005E6E56" w:rsidRPr="005E6E56" w:rsidRDefault="005E6E56" w:rsidP="005E6E56">
      <w:pPr>
        <w:shd w:val="clear" w:color="auto" w:fill="FFFFFF"/>
        <w:spacing w:after="50"/>
        <w:ind w:left="360"/>
        <w:jc w:val="both"/>
        <w:rPr>
          <w:rFonts w:ascii="Arial" w:hAnsi="Arial" w:cs="Arial"/>
          <w:color w:val="212121"/>
          <w:sz w:val="20"/>
        </w:rPr>
      </w:pPr>
    </w:p>
    <w:sectPr w:rsidR="005E6E56" w:rsidRPr="005E6E5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41C" w:rsidRDefault="004B541C" w:rsidP="00C11CB6">
      <w:pPr>
        <w:spacing w:after="0" w:line="240" w:lineRule="auto"/>
      </w:pPr>
      <w:r>
        <w:separator/>
      </w:r>
    </w:p>
  </w:endnote>
  <w:endnote w:type="continuationSeparator" w:id="0">
    <w:p w:rsidR="004B541C" w:rsidRDefault="004B541C" w:rsidP="00C11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820557"/>
      <w:docPartObj>
        <w:docPartGallery w:val="Page Numbers (Bottom of Page)"/>
        <w:docPartUnique/>
      </w:docPartObj>
    </w:sdtPr>
    <w:sdtEndPr/>
    <w:sdtContent>
      <w:p w:rsidR="00C11CB6" w:rsidRDefault="00C11CB6">
        <w:pPr>
          <w:pStyle w:val="Piedepgina"/>
          <w:jc w:val="right"/>
        </w:pPr>
        <w:r>
          <w:fldChar w:fldCharType="begin"/>
        </w:r>
        <w:r>
          <w:instrText>PAGE   \* MERGEFORMAT</w:instrText>
        </w:r>
        <w:r>
          <w:fldChar w:fldCharType="separate"/>
        </w:r>
        <w:r w:rsidR="00385E37" w:rsidRPr="00385E37">
          <w:rPr>
            <w:noProof/>
            <w:lang w:val="es-ES"/>
          </w:rPr>
          <w:t>3</w:t>
        </w:r>
        <w:r>
          <w:fldChar w:fldCharType="end"/>
        </w:r>
      </w:p>
    </w:sdtContent>
  </w:sdt>
  <w:p w:rsidR="00C11CB6" w:rsidRDefault="00C11CB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41C" w:rsidRDefault="004B541C" w:rsidP="00C11CB6">
      <w:pPr>
        <w:spacing w:after="0" w:line="240" w:lineRule="auto"/>
      </w:pPr>
      <w:r>
        <w:separator/>
      </w:r>
    </w:p>
  </w:footnote>
  <w:footnote w:type="continuationSeparator" w:id="0">
    <w:p w:rsidR="004B541C" w:rsidRDefault="004B541C" w:rsidP="00C11C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22C93"/>
    <w:multiLevelType w:val="hybridMultilevel"/>
    <w:tmpl w:val="9042DC5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56FC5A96"/>
    <w:multiLevelType w:val="hybridMultilevel"/>
    <w:tmpl w:val="7436A216"/>
    <w:lvl w:ilvl="0" w:tplc="C464ED06">
      <w:start w:val="1"/>
      <w:numFmt w:val="lowerLetter"/>
      <w:lvlText w:val="%1)"/>
      <w:lvlJc w:val="left"/>
      <w:pPr>
        <w:ind w:left="1080" w:hanging="360"/>
      </w:pPr>
      <w:rPr>
        <w:b/>
      </w:r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 w15:restartNumberingAfterBreak="0">
    <w:nsid w:val="73E977D7"/>
    <w:multiLevelType w:val="hybridMultilevel"/>
    <w:tmpl w:val="1DA0F88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B6"/>
    <w:rsid w:val="0017193B"/>
    <w:rsid w:val="00180638"/>
    <w:rsid w:val="0023790B"/>
    <w:rsid w:val="00244522"/>
    <w:rsid w:val="003120FB"/>
    <w:rsid w:val="0036143D"/>
    <w:rsid w:val="00385E37"/>
    <w:rsid w:val="003C4025"/>
    <w:rsid w:val="00402EE6"/>
    <w:rsid w:val="004B541C"/>
    <w:rsid w:val="00584E70"/>
    <w:rsid w:val="00593B5E"/>
    <w:rsid w:val="005E6E56"/>
    <w:rsid w:val="006E0298"/>
    <w:rsid w:val="00755EBC"/>
    <w:rsid w:val="007656DA"/>
    <w:rsid w:val="007C3A3E"/>
    <w:rsid w:val="007F14D5"/>
    <w:rsid w:val="008006D0"/>
    <w:rsid w:val="00813FFA"/>
    <w:rsid w:val="008B0E90"/>
    <w:rsid w:val="00A02E2E"/>
    <w:rsid w:val="00A04D3F"/>
    <w:rsid w:val="00A070F1"/>
    <w:rsid w:val="00B558FD"/>
    <w:rsid w:val="00C03146"/>
    <w:rsid w:val="00C04BF5"/>
    <w:rsid w:val="00C11CB6"/>
    <w:rsid w:val="00C274EE"/>
    <w:rsid w:val="00D40461"/>
    <w:rsid w:val="00D4320F"/>
    <w:rsid w:val="00D94978"/>
    <w:rsid w:val="00DC61E4"/>
    <w:rsid w:val="00E560FC"/>
    <w:rsid w:val="00F570B3"/>
    <w:rsid w:val="00FE12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2BE0"/>
  <w15:docId w15:val="{5527D0CA-3BA8-4BF3-AEAF-4454CCC72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1CB6"/>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1C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1CB6"/>
  </w:style>
  <w:style w:type="paragraph" w:styleId="Piedepgina">
    <w:name w:val="footer"/>
    <w:basedOn w:val="Normal"/>
    <w:link w:val="PiedepginaCar"/>
    <w:uiPriority w:val="99"/>
    <w:unhideWhenUsed/>
    <w:rsid w:val="00C11C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1CB6"/>
  </w:style>
  <w:style w:type="paragraph" w:styleId="Textodeglobo">
    <w:name w:val="Balloon Text"/>
    <w:basedOn w:val="Normal"/>
    <w:link w:val="TextodegloboCar"/>
    <w:uiPriority w:val="99"/>
    <w:semiHidden/>
    <w:unhideWhenUsed/>
    <w:rsid w:val="00C11C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1CB6"/>
    <w:rPr>
      <w:rFonts w:ascii="Tahoma" w:hAnsi="Tahoma" w:cs="Tahoma"/>
      <w:sz w:val="16"/>
      <w:szCs w:val="16"/>
    </w:rPr>
  </w:style>
  <w:style w:type="paragraph" w:styleId="Prrafodelista">
    <w:name w:val="List Paragraph"/>
    <w:basedOn w:val="Normal"/>
    <w:uiPriority w:val="34"/>
    <w:qFormat/>
    <w:rsid w:val="00B558FD"/>
    <w:pPr>
      <w:spacing w:after="200" w:line="276" w:lineRule="auto"/>
      <w:ind w:left="720"/>
      <w:contextualSpacing/>
    </w:pPr>
    <w:rPr>
      <w:rFonts w:eastAsiaTheme="minorEastAsia"/>
      <w:lang w:eastAsia="es-MX"/>
    </w:rPr>
  </w:style>
  <w:style w:type="paragraph" w:customStyle="1" w:styleId="xmsonormal">
    <w:name w:val="x_msonormal"/>
    <w:basedOn w:val="Normal"/>
    <w:rsid w:val="00B558F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286</Words>
  <Characters>1576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Rosa Aurelia Estrada Arrreola</dc:creator>
  <cp:lastModifiedBy>Rosendo Ceniceros Covarrubias</cp:lastModifiedBy>
  <cp:revision>5</cp:revision>
  <cp:lastPrinted>2020-10-28T20:55:00Z</cp:lastPrinted>
  <dcterms:created xsi:type="dcterms:W3CDTF">2021-10-21T21:49:00Z</dcterms:created>
  <dcterms:modified xsi:type="dcterms:W3CDTF">2021-10-22T02:19:00Z</dcterms:modified>
</cp:coreProperties>
</file>